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9, 2026</w:t>
      </w:r>
    </w:p>
    <w:p>
      <w:pPr>
        <w:spacing w:after="20"/>
      </w:pPr>
      <w:r>
        <w:rPr>
          <w:rFonts w:ascii="Calibri" w:hAnsi="Calibri"/>
          <w:b/>
          <w:color w:val="1A1A1A"/>
        </w:rPr>
        <w:t>Speechify (SIMBA Voice Agents)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Account Executive / Go-to-Market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You wrote that this role is for someone who can command a boardroom and open a terminal. I want to be direct about which half of that I've proven and which half is adjacent. I don't have voice-AI or telephony-specific experience. What I do have is a habit of building the thing I'm selling, at Solenzo, I personally architect AI agent workflows on no-code platforms, hands-on with the APIs and automation logic, not a sales narrative borrowed from someone else's demo.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The full-cycle sales side is proven, not adjacent. At Accelo, I sold and scoped CRM and project-management software directly to C-Suite executives, ranked top three on a team of 8 to 15 reps for nearly my full tenure while quota roughly doubled, and built the implementation plans that carried each deal into delivery. At Birdeye, I was the person feeding structured customer feedback back to Product and Engineering, exactly the voice-of-customer loop this role asks for. And at Solenzo, building GTM systems, outbound playbooks, and lead-qualification logic from zero is the daily job, not a project I did once.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follow the AI/agentic space closely because I build in it daily; voice specifically is new ground for me, and I'd rather tell you that now than have it surface in a technical discovery call. If the combination of proven technical B2B sales and genuine hands-on AI-building experience is worth a conversation despite that gap, I'd welcome it.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Best,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