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Digital Account Manager | SEO, SEM &amp; Data-Driven Client Strategy</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Digital account manager with hands-on SEO and SEM experience across agency and consulting environments, owning client relationships from discovery through Quarterly Business Reviews. Runs technical SEO audits and Google Ads accounts personally, not just reviews them, and reads GA4, Google Search Console, and Ads data to redirect client strategy when the numbers say the plan needs to change.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cutting spam and low-quality leads and improving click-through quality, then diagnosed on-site CRO as the remaining conversion bottleneck, demonstrating full-funnel troubleshooting.</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schema/structured data as part of technical SEO audits, pulling full on-page schema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acting as strategic lead and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 managing workflows and tasks in ClickUp.</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&amp; SEM:  </w:t>
      </w:r>
      <w:r>
        <w:rPr>
          <w:rFonts w:ascii="Calibri" w:hAnsi="Calibri"/>
          <w:b w:val="0"/>
          <w:i w:val="0"/>
          <w:color w:val="1A1A1A"/>
        </w:rPr>
        <w:t>Technical SEO Audits, Keyword Research &amp; Gap Analysis, Schema &amp; Structured Data, Google Ads Management, Screaming Frog</w:t>
      </w:r>
    </w:p>
    <w:p>
      <w:pPr>
        <w:spacing w:after="30"/>
      </w:pPr>
      <w:r>
        <w:rPr>
          <w:rFonts w:ascii="Calibri" w:hAnsi="Calibri"/>
          <w:b/>
          <w:i w:val="0"/>
          <w:color w:val="1A1A1A"/>
        </w:rPr>
        <w:t xml:space="preserve">Client Strategy &amp; QBRs:  </w:t>
      </w:r>
      <w:r>
        <w:rPr>
          <w:rFonts w:ascii="Calibri" w:hAnsi="Calibri"/>
          <w:b w:val="0"/>
          <w:i w:val="0"/>
          <w:color w:val="1A1A1A"/>
        </w:rPr>
        <w:t>Quarterly Business Reviews, Client Discovery &amp; Goal-Setting, ROI Reporting, Portfolio Management</w:t>
      </w:r>
    </w:p>
    <w:p>
      <w:pPr>
        <w:spacing w:after="30"/>
      </w:pPr>
      <w:r>
        <w:rPr>
          <w:rFonts w:ascii="Calibri" w:hAnsi="Calibri"/>
          <w:b/>
          <w:i w:val="0"/>
          <w:color w:val="1A1A1A"/>
        </w:rPr>
        <w:t xml:space="preserve">Analytics:  </w:t>
      </w:r>
      <w:r>
        <w:rPr>
          <w:rFonts w:ascii="Calibri" w:hAnsi="Calibri"/>
          <w:b w:val="0"/>
          <w:i w:val="0"/>
          <w:color w:val="1A1A1A"/>
        </w:rPr>
        <w:t>GA4, Google Search Console, Campaign Attribution, Data-Driven Strategy</w:t>
      </w:r>
    </w:p>
    <w:p>
      <w:pPr>
        <w:spacing w:after="30"/>
      </w:pPr>
      <w:r>
        <w:rPr>
          <w:rFonts w:ascii="Calibri" w:hAnsi="Calibri"/>
          <w:b/>
          <w:i w:val="0"/>
          <w:color w:val="1A1A1A"/>
        </w:rPr>
        <w:t xml:space="preserve">Agency &amp; Cross-Functional:  </w:t>
      </w:r>
      <w:r>
        <w:rPr>
          <w:rFonts w:ascii="Calibri" w:hAnsi="Calibri"/>
          <w:b w:val="0"/>
          <w:i w:val="0"/>
          <w:color w:val="1A1A1A"/>
        </w:rPr>
        <w:t>Marketing Agency Experience, Cross-Team Direction, Remote Collaboration, AI-Assisted Workflows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