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Paid Search Supervisor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Performance marketing professional with 15+ years managing client campaigns and reporting frameworks in agency and SaaS environments, including hands-on Google Ads management and current GA4-driven analysis. Built ROI/CAC/LTV reporting frameworks and led QBRs translating campaign performance into clear recommendations for clients and leadership. Comfortable being the primary point of contact for client-facing paid media questions, digging into performance data to diagnose issues, and communicating findings clearly to both technical and non-technical audiences.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business owners on a regular cadence.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competitor research and keyword-gap analyses, translating findings into campaign and content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agency, translating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primary strategic contact for client accounts,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Search &amp; Campaign Management:  </w:t>
      </w:r>
      <w:r>
        <w:rPr>
          <w:rFonts w:ascii="Calibri" w:hAnsi="Calibri"/>
          <w:b w:val="0"/>
          <w:i w:val="0"/>
          <w:color w:val="1A1A1A"/>
        </w:rPr>
        <w:t>Google Ads, Campaign Optimization, Budget Management, Performance Diagnostics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ROI/CAC/LTV Analysis, Performance Dashboards,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Relationship:  </w:t>
      </w:r>
      <w:r>
        <w:rPr>
          <w:rFonts w:ascii="Calibri" w:hAnsi="Calibri"/>
          <w:b w:val="0"/>
          <w:i w:val="0"/>
          <w:color w:val="1A1A1A"/>
        </w:rPr>
        <w:t>Primary Point of Contact, Client Communication, Cross-Team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Agency Experience:  </w:t>
      </w:r>
      <w:r>
        <w:rPr>
          <w:rFonts w:ascii="Calibri" w:hAnsi="Calibri"/>
          <w:b w:val="0"/>
          <w:i w:val="0"/>
          <w:color w:val="1A1A1A"/>
        </w:rPr>
        <w:t>Multi-Account Management, Deadline-Driven Delivery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