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Growth Analyst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Data-driven digital marketing professional with 15+ years spanning SEO, paid media, and hands-on web design, translating website and campaign performance into clear, actionable recommendations for cross-functional stakeholders. Runs technical SEO audits, Google Ads optimization, and Meta Ads split testing personally, designs and builds the landing pages and websites those campaigns point to, and is actively building AI-driven workflows to keep pace with emerging search behavior like AEO, GEO, and AI Overviews.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 and 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Design and build full websites for Solenzo clients directly, from page layout and structure through launch.</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 cut spam/low-quality leads and improved click-through quality - and diagnosed on-site CRO as the remaining conversion bottleneck, demonstrating full-funnel troubleshooting.</w:t>
      </w:r>
    </w:p>
    <w:p>
      <w:pPr>
        <w:spacing w:after="30"/>
        <w:ind w:left="259" w:hanging="259"/>
      </w:pPr>
      <w:r>
        <w:rPr>
          <w:rFonts w:ascii="Calibri" w:hAnsi="Calibri"/>
          <w:b w:val="0"/>
          <w:i w:val="0"/>
          <w:color w:val="163A5F"/>
        </w:rPr>
        <w:t xml:space="preserve">•  </w:t>
      </w:r>
      <w:r>
        <w:rPr>
          <w:rFonts w:ascii="Calibri" w:hAnsi="Calibri"/>
          <w:b w:val="0"/>
          <w:i w:val="0"/>
          <w:color w:val="1A1A1A"/>
        </w:rPr>
        <w:t>Run ad creative and copy split testing in Meta Ads Manager to identify top-performing variants before scaling spend.</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multiple accounts using GA4 and CRM analytics, delivering reporting that drives experimentation and growth.</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 landing pages, complex email sequences, conversion-focused copy - improving lead generation and pipeline, designing the page layout and structure, not just the copy on them.</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clients on site design and page layout using Wix's own builder as part of onboarding, translating brand and conversion goals into page structure.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Web Analytics &amp; Reporting:  </w:t>
      </w:r>
      <w:r>
        <w:rPr>
          <w:rFonts w:ascii="Calibri" w:hAnsi="Calibri"/>
          <w:b w:val="0"/>
          <w:i w:val="0"/>
          <w:color w:val="1A1A1A"/>
        </w:rPr>
        <w:t>GA4, Google Search Console, Campaign Attribution, KPI Tracking, Data-Driven Troubleshooting</w:t>
      </w:r>
    </w:p>
    <w:p>
      <w:pPr>
        <w:spacing w:after="30"/>
      </w:pPr>
      <w:r>
        <w:rPr>
          <w:rFonts w:ascii="Calibri" w:hAnsi="Calibri"/>
          <w:b/>
          <w:i w:val="0"/>
          <w:color w:val="1A1A1A"/>
        </w:rPr>
        <w:t xml:space="preserve">SEO / AEO / GEO:  </w:t>
      </w:r>
      <w:r>
        <w:rPr>
          <w:rFonts w:ascii="Calibri" w:hAnsi="Calibri"/>
          <w:b w:val="0"/>
          <w:i w:val="0"/>
          <w:color w:val="1A1A1A"/>
        </w:rPr>
        <w:t>Technical SEO Audits, Keyword Research &amp; Gap Analysis, Schema &amp; Structured Data, Content Optimization</w:t>
      </w:r>
    </w:p>
    <w:p>
      <w:pPr>
        <w:spacing w:after="30"/>
      </w:pPr>
      <w:r>
        <w:rPr>
          <w:rFonts w:ascii="Calibri" w:hAnsi="Calibri"/>
          <w:b/>
          <w:i w:val="0"/>
          <w:color w:val="1A1A1A"/>
        </w:rPr>
        <w:t xml:space="preserve">Paid Media &amp; Testing:  </w:t>
      </w:r>
      <w:r>
        <w:rPr>
          <w:rFonts w:ascii="Calibri" w:hAnsi="Calibri"/>
          <w:b w:val="0"/>
          <w:i w:val="0"/>
          <w:color w:val="1A1A1A"/>
        </w:rPr>
        <w:t>Google Ads Management, Meta Ads Management &amp; A/B Split Testing, CRO</w:t>
      </w:r>
    </w:p>
    <w:p>
      <w:pPr>
        <w:spacing w:after="30"/>
      </w:pPr>
      <w:r>
        <w:rPr>
          <w:rFonts w:ascii="Calibri" w:hAnsi="Calibri"/>
          <w:b/>
          <w:i w:val="0"/>
          <w:color w:val="1A1A1A"/>
        </w:rPr>
        <w:t xml:space="preserve">Web/UX Design &amp; Cross-Functional Collaboration:  </w:t>
      </w:r>
      <w:r>
        <w:rPr>
          <w:rFonts w:ascii="Calibri" w:hAnsi="Calibri"/>
          <w:b w:val="0"/>
          <w:i w:val="0"/>
          <w:color w:val="1A1A1A"/>
        </w:rPr>
        <w:t>Website &amp; Landing Page Design, Site Architecture Consulting, Product &amp; Engineering Partnership</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