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12, 2026</w:t>
      </w:r>
    </w:p>
    <w:p>
      <w:pPr>
        <w:spacing w:after="20"/>
      </w:pPr>
      <w:r>
        <w:rPr>
          <w:rFonts w:ascii="Calibri" w:hAnsi="Calibri"/>
          <w:b/>
          <w:color w:val="1A1A1A"/>
        </w:rPr>
        <w:t>LendingTree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CRM Campaign Specialist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Building email programs that move people to act is my day-to-day. At Solenzo I design and run automated lifecycle journeys for consumer-facing service businesses: onboarding, reminders, nurture, reactivation of lapsed customers, and review requests, built on segmentation, lifecycle stages, and lead scoring in GoHighLevel and HubSpot. I write the copy, set up the tracking, and iterate on what the numbers show.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Level Agency I built complex email sequences and landing pages for accounts spending $20K+ a month on ads, ran A/B tests, and walked clients through ROI and conversion results. Financial services is a space I care about too: I served a banking client at Fetch &amp; Funnel, and I'm genuinely interested in making big financial decisions like insurance easier for the people making them.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live in Arvada, and the Denver hybrid schedule works for me. Open to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