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1, 2026</w:t>
      </w:r>
    </w:p>
    <w:p>
      <w:pPr>
        <w:spacing w:after="20"/>
      </w:pPr>
      <w:r>
        <w:rPr>
          <w:rFonts w:ascii="Calibri" w:hAnsi="Calibri"/>
          <w:b/>
          <w:color w:val="1A1A1A"/>
        </w:rPr>
        <w:t>Humana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Channel Development Lead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for the Channel Development Lead role. Building the systems and reporting that make a sales channel run better is the throughline of my last 15 years: CRM architecture, KPI dashboards, and go-to-market strategy across SaaS and agency environments, translated into roadmaps that other teams execute against.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Accelo I sold and scoped CRM and project-management software to agencies and professional-services firms, then built sequenced implementation plans ranking which systems to change and in what order, working directly with C-suite executives as a trusted advisor on operational design. At Birdeye I managed a network of 15 to 20 reseller partners, retaining all but one, by tracking utilization and performance data to catch adoption gaps before they became churn. At Solenzo I architect CRM systems and build the performance dashboards that turn pipeline and funnel data into decisions for business owners.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I'll be direct about the gap: my sales and CRM experience is in SaaS and agency environments, not health solutions specifically. What I bring instead is the operating core this role is built on: connecting channel strategy to CRM systems to KPI reporting, and communicating that clearly to strategic-level stakeholders. I'd welcome the conversation.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