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June 18, 2026</w:t>
      </w:r>
    </w:p>
    <w:p>
      <w:pPr>
        <w:spacing w:after="20"/>
      </w:pPr>
      <w:r>
        <w:rPr>
          <w:rFonts w:ascii="Calibri" w:hAnsi="Calibri"/>
          <w:b/>
          <w:color w:val="1A1A1A"/>
        </w:rPr>
        <w:t>monday.com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Account Executive, Mid-Market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I've spent my career doing exactly what this role asks — owning the full sales cycle and closing B2B SaaS deals — and I've done it in monday.com's own category. At Accelo I ran full-cycle, quota-carrying sales of complex CRM and project-management software to mid-market and professional-services clients, which makes the work-collaboration space you sell into familiar ground for me. I'm also Denver-based and ready for the in-office team.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What I bring to a Mid-Market AE seat is consultative, multi-stakeholder selling end to end. I prospect and build relationships with key stakeholders, run discovery, connect product capabilities directly to customer ROI, and carry deals through negotiation and contracting. At Accelo I built C-suite relationships and navigated complex deals alongside implementation teams; as founder of Solenzo I generate my own pipeline through outbound and close it independently, acting as the escalation point for every commercial issue. I'm a self-starter who manages my own time, prioritizes ruthlessly, and is energized by a fast-moving, AI-forward product I genuinely find fun to demo.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monday.com's positioning — where AI doesn't just assist, it executes — is something I can speak to credibly, because I build agentic AI workflows myself and can translate that capability into real customer value on a sales call. I'd welcome the chance to discuss how I can help grow your mid-market book. Thank you for your consideration.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