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| AI Agents &amp; Automation |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leader with 15+ years in B2B SaaS who builds and tunes AI agents hands-on. As founder of Solenzo, designs LLM-based agent workflows, translates business owners' goals into precise prompts and agent logic, and evaluates AI output against rubric-based standards. Retained ~94% of a 15-20 partner book at Birdeye by tracking utilization and catching risk early, onboarded 25+ clients a month at Wix at 110% of implementation targets, and advised C-suite clients at Accelo while ranking top three in sales. Runs structured discovery, business reviews, and value reporting tied to measurable outcomes.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AI Automation Lead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manual workflows into AI agent architectures with custom logic that scores a business's digital footprint and generates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loosely defined goals into precise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Evaluate AI-generated responses in client automation systems and built rubric-based grading criteria to score outputs against defined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SMS and email automation system and track ROI and funnel results in dashboards for each client.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owners, define measurable goals, and expand accounts through proposals and SOWs.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and delivered QBRs tracking ROI, CAC, LTV, and conversion with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performance data to find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and fed prioritized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as a trusted advisor on operational system design, guiding onboarding,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Structured Discovery, Executive Business Reviews, Success Metrics &amp; Value Reporting, Retention Strategy, Expansion Proposals, Customer Advocacy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Technical:  </w:t>
      </w:r>
      <w:r>
        <w:rPr>
          <w:rFonts w:ascii="Calibri" w:hAnsi="Calibri"/>
          <w:b w:val="0"/>
          <w:i w:val="0"/>
          <w:color w:val="1A1A1A"/>
        </w:rPr>
        <w:t>LLM Agent Design, Prompt &amp; Agent Logic, AI Output Evaluation, API Integrations, Zapier, Make, n8n, Claude, ChatGPT, Claude Code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Zendesk, Power BI,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