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Marketing &amp; Communications Generalist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Marketing and communications generalist with 15+ years managing content, campaigns, and client-facing communication in lean, fast-moving environments, working independently as part of fully remote teams since 2020. Writes newsletters, blog posts, and direct-response copy; manages CRM systems and social media content; and brings 15+ years of hands-on foodservice experience (cook, multiple restaurant types) that gives grounded, first-hand familiarity with how food businesses and their supply chains actually operate.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Own the primary strategic relationship for a portfolio of service-based businesses, serving as the day-to-day point of contact and running discovery to surface client goals and challenges.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Draft clean, specific, ethically aligned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Self-produce short-form, hook-driven, talking-head video content for Solenzo's own brand marketing, appearing on camera to build organic reach.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 up to 3 concurrent client engagements simultaneously as a solo, fully remote founder, personally handling delivery, content, and technical implementation for each.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Produced high-converting campaign assets, landing pages, complex email sequences, and conversion-focused copy, improving lead generation and pipeline.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integrated digital marketing strategies across inbound, paid media, and content, coordinating execution across internal departments.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onboarding and training for a diverse, high-volume partner network spanning multiple regions and verticals, driving rapid adoption of new tools.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Content &amp; Communications:  </w:t>
      </w:r>
      <w:r>
        <w:rPr>
          <w:rFonts w:ascii="Times New Roman" w:hAnsi="Times New Roman"/>
          <w:b w:val="0"/>
          <w:i w:val="0"/>
          <w:color w:val="1A1A1A"/>
        </w:rPr>
        <w:t>Newsletters, Blog &amp; Web Content, Direct-Response Copy, Social Media Content, Thought Leadership Writing, Brand Voice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Client &amp; Stakeholder Relations:  </w:t>
      </w:r>
      <w:r>
        <w:rPr>
          <w:rFonts w:ascii="Times New Roman" w:hAnsi="Times New Roman"/>
          <w:b w:val="0"/>
          <w:i w:val="0"/>
          <w:color w:val="1A1A1A"/>
        </w:rPr>
        <w:t>Point-of-Contact Ownership, Remote &amp; Cross-Regional Team Coordination, Training &amp; Onboarding Delivery, Stakeholder Communication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Project &amp; Program Management:  </w:t>
      </w:r>
      <w:r>
        <w:rPr>
          <w:rFonts w:ascii="Times New Roman" w:hAnsi="Times New Roman"/>
          <w:b w:val="0"/>
          <w:i w:val="0"/>
          <w:color w:val="1A1A1A"/>
        </w:rPr>
        <w:t>Concurrent Project Management, Independent Remote Work, Process Documentation, Prioritization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Tools &amp; Platforms:  </w:t>
      </w:r>
      <w:r>
        <w:rPr>
          <w:rFonts w:ascii="Times New Roman" w:hAnsi="Times New Roman"/>
          <w:b w:val="0"/>
          <w:i w:val="0"/>
          <w:color w:val="1A1A1A"/>
        </w:rPr>
        <w:t>Microsoft Office (Word, Excel, Outlook), GoHighLevel, HubSpot, Salesforce, Notion, Google Apps, Social Media Platforms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— Colorado State University, Fort Collins, CO (2009)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CERTIFICATIONS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Google Digital Marketing &amp; E-Commerce Professional Certificate — Google / Coursera (2024)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