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jc w:val="center"/>
      </w:pPr>
      <w:r>
        <w:rPr>
          <w:rFonts w:ascii="Calibri" w:hAnsi="Calibri"/>
          <w:b/>
          <w:color w:val="163A5F"/>
          <w:sz w:val="36"/>
        </w:rPr>
        <w:t>Joshua Rotenberg</w:t>
      </w:r>
    </w:p>
    <w:p>
      <w:pPr>
        <w:spacing w:after="200"/>
        <w:jc w:val="center"/>
      </w:pPr>
      <w:r>
        <w:rPr>
          <w:rFonts w:ascii="Calibri" w:hAnsi="Calibri"/>
          <w:b w:val="0"/>
          <w:color w:val="555555"/>
          <w:sz w:val="18"/>
        </w:rPr>
        <w:t>Arvada, CO (Remote)  •  303-726-5037  •  jrotnbrg@gmail.com  •  linkedin.com/in/joshua-rotenberg</w:t>
      </w:r>
    </w:p>
    <w:p>
      <w:pPr>
        <w:spacing w:after="120"/>
      </w:pPr>
      <w:r>
        <w:rPr>
          <w:rFonts w:ascii="Calibri" w:hAnsi="Calibri"/>
          <w:b w:val="0"/>
          <w:color w:val="1A1A1A"/>
        </w:rPr>
        <w:t>September 30, 2026</w:t>
      </w:r>
    </w:p>
    <w:p>
      <w:pPr>
        <w:spacing w:after="20"/>
      </w:pPr>
      <w:r>
        <w:rPr>
          <w:rFonts w:ascii="Calibri" w:hAnsi="Calibri"/>
          <w:b/>
          <w:color w:val="1A1A1A"/>
        </w:rPr>
        <w:t>Benepass</w:t>
      </w:r>
    </w:p>
    <w:p>
      <w:pPr>
        <w:spacing w:after="160"/>
      </w:pPr>
      <w:r>
        <w:rPr>
          <w:rFonts w:ascii="Calibri" w:hAnsi="Calibri"/>
          <w:b w:val="0"/>
          <w:color w:val="1A1A1A"/>
        </w:rPr>
        <w:t>Re: Senior Partner Success Manager</w:t>
      </w:r>
    </w:p>
    <w:p>
      <w:pPr>
        <w:spacing w:after="160"/>
      </w:pPr>
      <w:r>
        <w:rPr>
          <w:rFonts w:ascii="Calibri" w:hAnsi="Calibri"/>
          <w:b w:val="0"/>
          <w:color w:val="1A1A1A"/>
        </w:rPr>
        <w:t>Dear Hiring Team,</w:t>
      </w:r>
    </w:p>
    <w:p>
      <w:pPr>
        <w:spacing w:after="160"/>
      </w:pPr>
      <w:r>
        <w:rPr>
          <w:rFonts w:ascii="Calibri" w:hAnsi="Calibri"/>
          <w:b w:val="0"/>
          <w:color w:val="1A1A1A"/>
        </w:rPr>
        <w:t>A partner channel succeeds when partners understand the product well enough to sell and launch it without you in the room. Getting there takes a clear onboarding path, good training, and someone watching the numbers closely enough to step in before a partner stalls. That's the job I did at Birdeye, and it's the job this role describes.</w:t>
      </w:r>
    </w:p>
    <w:p>
      <w:pPr>
        <w:spacing w:after="160"/>
      </w:pPr>
      <w:r>
        <w:rPr>
          <w:rFonts w:ascii="Calibri" w:hAnsi="Calibri"/>
          <w:b w:val="0"/>
          <w:color w:val="1A1A1A"/>
        </w:rPr>
        <w:t>At Birdeye I onboarded and managed a channel of 15-20 reseller partners across health, home services, and retail, including agencies serving healthcare clients. I built the communication workflows and automated training that got partners productive, advised them on retention and customer health for their own clients, tracked utilization in Salesforce to catch problems early, and kept all but one. At Wix I led a team of 20 (later 8) onboarding specialists and built the processes that took a new business line from proof of concept to profitable. At Accelo I built implementation plans and advised C-suite leaders on operational change. I haven't worked in employee benefits or spending accounts, and I'd get up to speed on the benefits and TPA landscape quickly; building the playbooks and operating rhythm that let a partner ecosystem scale is work I've done before.</w:t>
      </w:r>
    </w:p>
    <w:p>
      <w:pPr>
        <w:spacing w:after="160"/>
      </w:pPr>
      <w:r>
        <w:rPr>
          <w:rFonts w:ascii="Calibri" w:hAnsi="Calibri"/>
          <w:b w:val="0"/>
          <w:color w:val="1A1A1A"/>
        </w:rPr>
        <w:t>I'd welcome a conversation about Benepass's partner program. I'm available at 303-726-5037 or jrotnbrg@gmail.com.</w:t>
      </w:r>
    </w:p>
    <w:p>
      <w:pPr>
        <w:spacing w:after="280"/>
      </w:pPr>
      <w:r>
        <w:rPr>
          <w:rFonts w:ascii="Calibri" w:hAnsi="Calibri"/>
          <w:b w:val="0"/>
          <w:color w:val="1A1A1A"/>
        </w:rPr>
        <w:t>Sincerely,</w:t>
      </w:r>
    </w:p>
    <w:p>
      <w:pPr>
        <w:spacing w:after="160"/>
      </w:pPr>
      <w:r>
        <w:rPr>
          <w:rFonts w:ascii="Calibri" w:hAnsi="Calibri"/>
          <w:b w:val="0"/>
          <w:color w:val="1A1A1A"/>
        </w:rPr>
        <w:t>Joshua Rotenberg</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pPr>
    <w:rPr>
      <w:rFonts w:ascii="Calibri" w:hAnsi="Calibri" w:cs="Calibri"/>
      <w:color w:val="1A1A1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