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22, 2026</w:t>
      </w:r>
    </w:p>
    <w:p>
      <w:pPr>
        <w:spacing w:after="20"/>
      </w:pPr>
      <w:r>
        <w:rPr>
          <w:rFonts w:ascii="Calibri" w:hAnsi="Calibri"/>
          <w:b/>
          <w:color w:val="1A1A1A"/>
        </w:rPr>
        <w:t>OpenRouter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Solutions Architect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want to be direct about where I fit and where I don't. I haven't run Kubernetes clusters or architected cloud networking, and I'm not going to pretend otherwise. What I do have is genuine, daily hands-on time in the LLM ecosystem: evaluating and piloting AI tools and automation platforms, architecting agent systems for real clients, and writing the prompts and agent instructions that turn a business owner's loosely formed idea into something that actually runs. That's the part of this role I could do well from day one.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infrastructure depth is the real gap, and the fastest way I know to close a gap like that is the same way I picked up SQL, Power BI, and agentic AI system design in the first place: hands-on, because I wanted to understand it, not because a job required it. I've been doing the same on the hardware side too, tinkering with a Raspberry Pi at home out of plain curiosity. I also bring direct B2B sales experience into healthcare (Birdeye) and financial services (Fetch &amp; Funnel), regulated-adjacent verticals your nice-to-haves call out specifically.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If the AI-fluency and customer-facing technical translation matter more to you right now than a finished infrastructure background, I'd welcome the conversation. I'm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