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Dropbox</w:t>
      </w:r>
    </w:p>
    <w:p>
      <w:pPr>
        <w:spacing w:after="160"/>
      </w:pPr>
      <w:r>
        <w:rPr>
          <w:rFonts w:ascii="Calibri" w:hAnsi="Calibri"/>
          <w:b w:val="0"/>
          <w:color w:val="1A1A1A"/>
        </w:rPr>
        <w:t>Re: Scaled Customer Success Manager</w:t>
      </w:r>
    </w:p>
    <w:p>
      <w:pPr>
        <w:spacing w:after="160"/>
      </w:pPr>
      <w:r>
        <w:rPr>
          <w:rFonts w:ascii="Calibri" w:hAnsi="Calibri"/>
          <w:b w:val="0"/>
          <w:color w:val="1A1A1A"/>
        </w:rPr>
        <w:t>Dear Hiring Team,</w:t>
      </w:r>
    </w:p>
    <w:p>
      <w:pPr>
        <w:spacing w:after="160"/>
      </w:pPr>
      <w:r>
        <w:rPr>
          <w:rFonts w:ascii="Calibri" w:hAnsi="Calibri"/>
          <w:b w:val="0"/>
          <w:color w:val="1A1A1A"/>
        </w:rPr>
        <w:t>The way you describe this role, programs that reach the whole portfolio plus a real conversation when a signal needs one, is how I've run every customer book I've owned. Scale without the conversations misses the risk. Conversations without scale miss most of the customers.</w:t>
      </w:r>
    </w:p>
    <w:p>
      <w:pPr>
        <w:spacing w:after="160"/>
      </w:pPr>
      <w:r>
        <w:rPr>
          <w:rFonts w:ascii="Calibri" w:hAnsi="Calibri"/>
          <w:b w:val="0"/>
          <w:color w:val="1A1A1A"/>
        </w:rPr>
        <w:t>At Birdeye I managed a reseller channel of 15 to 20 partners and watched utilization closely, so I could step in when an account started to slip. I kept all but one. At Wix I carried up to 25 onboardings at once and 25+ launches a month, and drove a 25% conversion improvement across the accounts I supported. Today at Solenzo I design and automate lifecycle programs (onboarding, nurture, and reactivation of lapsed customers) across 20+ production workflows, with AI built into them, and I segment customers so each one gets the touchpoint that fits where they are.</w:t>
      </w:r>
    </w:p>
    <w:p>
      <w:pPr>
        <w:spacing w:after="160"/>
      </w:pPr>
      <w:r>
        <w:rPr>
          <w:rFonts w:ascii="Calibri" w:hAnsi="Calibri"/>
          <w:b w:val="0"/>
          <w:color w:val="1A1A1A"/>
        </w:rPr>
        <w:t>I haven't worked alongside a centralized Renewals Desk, and that handoff is something I'd learn your way. Making sure health signals turn into clear actions, and that growth opportunities reach Sales with the context they need, is the part of this job I'm most confident in.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