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20, 2026</w:t>
      </w:r>
    </w:p>
    <w:p>
      <w:pPr>
        <w:spacing w:after="20"/>
      </w:pPr>
      <w:r>
        <w:rPr>
          <w:rFonts w:ascii="Calibri" w:hAnsi="Calibri"/>
          <w:b/>
          <w:color w:val="1A1A1A"/>
        </w:rPr>
        <w:t>SMB Team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AI Implementation Specialist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This role is the technical execution side of the same work I already do at Solenzo, building and documenting AI-driven automation for small businesses, just applied to your law firm clients instead of mine. I built a 20-plus-workflow GoHighLevel automation system spanning lead capture through reactivation, and I translate ambiguous business requirements into structured AI prompts and agent logic as a matter of daily practice, not a one-off project.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Documentation is not an afterthought in how I work. I log every configuration and deliverable so engagements stay auditable, and I built rubric-based grading criteria to QA AI-generated output before it ever reached a client, rather than trusting model output directly. I have hands-on production experience across Zapier, Make, and n8n, including custom Python and JavaScript code steps, and I am comfortable executing independently from a scoping document without needing step-by-step direction, since that has been how I have run my own practice for the last two years.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do not have legal-tech-specific experience, and my background has generally been client-facing rather than pure back-end delivery, but the technical work this role describes is exactly what I already build. I would welcome the chance to bring that to your engagements.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