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AI &amp; Automation Implementation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AI implementation and automation specialist with 5+ years architecting and deploying AI-driven workflows and automation systems for B2B service clients. Builds, tests, and documents multi-step automations in Zapier, Make, and n8n, including custom Python and JavaScript code steps, configures CRM and marketing-technology tenants end to end, and translates ambiguous business requirements into structured AI agent logic and reliable, documented workflows. Maintains rigorous implementation documentation and reusable templates across every engagement.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system, 20+ workflows spanning lead capture/tagging/routing, qualification, appointment booking with confirmation and reminders, no-show recovery, onboarding nurture, and reactivation.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bridging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marketing workflows into agent architectures with custom logic that scores a business's digital footprint and generates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evaluate AI-generated response output for client automation systems, and built rubric-based grading criteria for the SEO audit process, scoring outputs against defined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alignment, managing workflows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Salesforce-based workflow-automation effort, defining test structure and success criteria for the team building it.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resolving technical challenges during setup.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 Implementation:  </w:t>
      </w:r>
      <w:r>
        <w:rPr>
          <w:rFonts w:ascii="Calibri" w:hAnsi="Calibri"/>
          <w:b w:val="0"/>
          <w:i w:val="0"/>
          <w:color w:val="1A1A1A"/>
        </w:rPr>
        <w:t>AI Agent Architecture, Prompt Design, Multi-Step Workflow Automation (Zapier, Make, n8n), Custom Code Steps (Python, JavaScript), AI Output QA &amp; Grading Rubrics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Configuration &amp; Integration:  </w:t>
      </w:r>
      <w:r>
        <w:rPr>
          <w:rFonts w:ascii="Calibri" w:hAnsi="Calibri"/>
          <w:b w:val="0"/>
          <w:i w:val="0"/>
          <w:color w:val="1A1A1A"/>
        </w:rPr>
        <w:t>API Integrations, CRM Tenant Configuration, Data Mapping &amp; Standardization, Google Tag Manager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Documentation &amp; Delivery:  </w:t>
      </w:r>
      <w:r>
        <w:rPr>
          <w:rFonts w:ascii="Calibri" w:hAnsi="Calibri"/>
          <w:b w:val="0"/>
          <w:i w:val="0"/>
          <w:color w:val="1A1A1A"/>
        </w:rPr>
        <w:t>Implementation Planning, SOPs &amp; Configuration Guides, Engagement Documentation, Independent Execution from Spec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Tools:  </w:t>
      </w:r>
      <w:r>
        <w:rPr>
          <w:rFonts w:ascii="Calibri" w:hAnsi="Calibri"/>
          <w:b w:val="0"/>
          <w:i w:val="0"/>
          <w:color w:val="1A1A1A"/>
        </w:rPr>
        <w:t>GoHighLevel, HubSpot, Salesforce, Notion, SQL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