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i w:val="0"/>
          <w:color w:val="1A1A1A"/>
          <w:sz w:val="42"/>
        </w:rPr>
        <w:t>Joshua Rotenberg</w:t>
      </w:r>
    </w:p>
    <w:p>
      <w:pPr>
        <w:spacing w:after="40"/>
        <w:jc w:val="center"/>
      </w:pPr>
      <w:r>
        <w:rPr>
          <w:rFonts w:ascii="Times New Roman" w:hAnsi="Times New Roman"/>
          <w:b w:val="0"/>
          <w:i w:val="0"/>
          <w:color w:val="555555"/>
          <w:sz w:val="23"/>
        </w:rPr>
        <w:t>Technical B2B Sales Professional</w:t>
      </w:r>
    </w:p>
    <w:p>
      <w:pPr>
        <w:spacing w:after="80"/>
        <w:jc w:val="center"/>
      </w:pPr>
      <w:r>
        <w:rPr>
          <w:rFonts w:ascii="Times New Roman" w:hAnsi="Times New Roman"/>
          <w:b w:val="0"/>
          <w:i w:val="0"/>
          <w:color w:val="555555"/>
          <w:sz w:val="18"/>
        </w:rPr>
        <w:t>Arvada, CO (Remote)  •  303-726-5037  •  jrotnbrg@gmail.com  •  linkedin.com/in/joshua-rotenberg</w:t>
      </w:r>
    </w:p>
    <w:p>
      <w:pPr>
        <w:spacing w:before="140" w:after="60"/>
        <w:pBdr>
          <w:bottom w:val="single" w:sz="6" w:space="2" w:color="1a1a1a"/>
        </w:pBdr>
      </w:pPr>
      <w:r>
        <w:rPr>
          <w:rFonts w:ascii="Times New Roman" w:hAnsi="Times New Roman"/>
          <w:b/>
          <w:i w:val="0"/>
          <w:caps/>
          <w:color w:val="1A1A1A"/>
          <w:sz w:val="21"/>
        </w:rPr>
        <w:t>SUMMARY</w:t>
      </w:r>
    </w:p>
    <w:p>
      <w:pPr>
        <w:spacing w:after="40"/>
      </w:pPr>
      <w:r>
        <w:rPr>
          <w:rFonts w:ascii="Times New Roman" w:hAnsi="Times New Roman"/>
          <w:b w:val="0"/>
          <w:i w:val="0"/>
          <w:color w:val="1A1A1A"/>
        </w:rPr>
        <w:t>B2B sales professional with 15+ years of full-cycle selling and technical solution scoping across SaaS, MarTech, and operations. As co-owner of a licensed cannabis cultivation facility, personally specified and selected HVAC and ventilation equipment, exhaust and intake fans, ducting, climate control, and CO2 systems, working directly with equipment vendors to evaluate options and make buying decisions. Brings that same buyer-side technical fluency into a tenured B2B sales career: ranked top three in sales on a team that scaled from 8 to 15 reps, consistently performed above commission floor into accelerator tiers, and is proficient across four CRM platforms.</w:t>
      </w:r>
    </w:p>
    <w:p>
      <w:pPr>
        <w:spacing w:before="140" w:after="60"/>
        <w:pBdr>
          <w:bottom w:val="single" w:sz="6" w:space="2" w:color="1a1a1a"/>
        </w:pBdr>
      </w:pPr>
      <w:r>
        <w:rPr>
          <w:rFonts w:ascii="Times New Roman" w:hAnsi="Times New Roman"/>
          <w:b/>
          <w:i w:val="0"/>
          <w:caps/>
          <w:color w:val="1A1A1A"/>
          <w:sz w:val="21"/>
        </w:rPr>
        <w:t>PROFESSIONAL EXPERIENCE</w:t>
      </w:r>
    </w:p>
    <w:p>
      <w:pPr>
        <w:tabs>
          <w:tab w:pos="10512" w:val="right"/>
        </w:tabs>
        <w:spacing w:before="80" w:after="20"/>
      </w:pPr>
      <w:r>
        <w:rPr>
          <w:rFonts w:ascii="Times New Roman" w:hAnsi="Times New Roman"/>
          <w:b/>
          <w:i w:val="0"/>
          <w:color w:val="1A1A1A"/>
          <w:sz w:val="21"/>
        </w:rPr>
        <w:t>Founder &amp; Strategic / Marketing Operations Lead</w:t>
      </w:r>
      <w:r>
        <w:rPr>
          <w:rFonts w:ascii="Times New Roman" w:hAnsi="Times New Roman"/>
          <w:b w:val="0"/>
          <w:i w:val="0"/>
          <w:color w:val="1A1A1A"/>
          <w:sz w:val="21"/>
        </w:rPr>
        <w:t xml:space="preserve">  |  Solenzo LLC</w:t>
      </w:r>
      <w:r>
        <w:rPr>
          <w:rFonts w:ascii="Times New Roman" w:hAnsi="Times New Roman"/>
          <w:b w:val="0"/>
          <w:i w:val="0"/>
          <w:color w:val="555555"/>
          <w:sz w:val="18"/>
        </w:rPr>
        <w:tab/>
        <w:t>Feb 2024 – Present</w:t>
      </w:r>
    </w:p>
    <w:p>
      <w:pPr>
        <w:spacing w:after="20"/>
      </w:pPr>
      <w:r>
        <w:rPr>
          <w:rFonts w:ascii="Times New Roman" w:hAnsi="Times New Roman"/>
          <w:b w:val="0"/>
          <w:i/>
          <w:color w:val="555555"/>
          <w:sz w:val="18"/>
        </w:rPr>
        <w:t>Arvada, CO (Remote)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Own the primary strategic relationship for a portfolio of service-based businesses, running discovery to surface client goals and close on scope.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Run full-cycle sales and delivery independently as founder, from initial outreach through close and ongoing account expansion.</w:t>
      </w:r>
    </w:p>
    <w:p>
      <w:pPr>
        <w:tabs>
          <w:tab w:pos="10512" w:val="right"/>
        </w:tabs>
        <w:spacing w:before="80" w:after="20"/>
      </w:pPr>
      <w:r>
        <w:rPr>
          <w:rFonts w:ascii="Times New Roman" w:hAnsi="Times New Roman"/>
          <w:b/>
          <w:i w:val="0"/>
          <w:color w:val="1A1A1A"/>
          <w:sz w:val="21"/>
        </w:rPr>
        <w:t>Account Executive / Client Strategist</w:t>
      </w:r>
      <w:r>
        <w:rPr>
          <w:rFonts w:ascii="Times New Roman" w:hAnsi="Times New Roman"/>
          <w:b w:val="0"/>
          <w:i w:val="0"/>
          <w:color w:val="1A1A1A"/>
          <w:sz w:val="21"/>
        </w:rPr>
        <w:t xml:space="preserve">  |  Level Agency</w:t>
      </w:r>
      <w:r>
        <w:rPr>
          <w:rFonts w:ascii="Times New Roman" w:hAnsi="Times New Roman"/>
          <w:b w:val="0"/>
          <w:i w:val="0"/>
          <w:color w:val="555555"/>
          <w:sz w:val="18"/>
        </w:rPr>
        <w:tab/>
        <w:t>Sep 2024 – Feb 2025</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Personally sold and closed 2 client accounts using programmatic advertising, each at ~$30K MRR (~$360K annualized contract value), owning the client relationship and strategy while a specialist team executed the buys.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Advised client businesses on ad-spend budget planning and allocation across paid campaigns.</w:t>
      </w:r>
    </w:p>
    <w:p>
      <w:pPr>
        <w:tabs>
          <w:tab w:pos="10512" w:val="right"/>
        </w:tabs>
        <w:spacing w:before="80" w:after="20"/>
      </w:pPr>
      <w:r>
        <w:rPr>
          <w:rFonts w:ascii="Times New Roman" w:hAnsi="Times New Roman"/>
          <w:b/>
          <w:i w:val="0"/>
          <w:color w:val="1A1A1A"/>
          <w:sz w:val="21"/>
        </w:rPr>
        <w:t>Channel Partnerships &amp; Customer Onboarding</w:t>
      </w:r>
      <w:r>
        <w:rPr>
          <w:rFonts w:ascii="Times New Roman" w:hAnsi="Times New Roman"/>
          <w:b w:val="0"/>
          <w:i w:val="0"/>
          <w:color w:val="1A1A1A"/>
          <w:sz w:val="21"/>
        </w:rPr>
        <w:t xml:space="preserve">  |  Birdeye</w:t>
      </w:r>
      <w:r>
        <w:rPr>
          <w:rFonts w:ascii="Times New Roman" w:hAnsi="Times New Roman"/>
          <w:b w:val="0"/>
          <w:i w:val="0"/>
          <w:color w:val="555555"/>
          <w:sz w:val="18"/>
        </w:rPr>
        <w:tab/>
        <w:t>Feb 2023 – Apr 2024</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customers through complex technical setup and configuration of reputation and marketing automation tools.</w:t>
      </w:r>
    </w:p>
    <w:p>
      <w:pPr>
        <w:tabs>
          <w:tab w:pos="10512" w:val="right"/>
        </w:tabs>
        <w:spacing w:before="80" w:after="20"/>
      </w:pPr>
      <w:r>
        <w:rPr>
          <w:rFonts w:ascii="Times New Roman" w:hAnsi="Times New Roman"/>
          <w:b/>
          <w:i w:val="0"/>
          <w:color w:val="1A1A1A"/>
          <w:sz w:val="21"/>
        </w:rPr>
        <w:t>Account Executive / Sales Operations</w:t>
      </w:r>
      <w:r>
        <w:rPr>
          <w:rFonts w:ascii="Times New Roman" w:hAnsi="Times New Roman"/>
          <w:b w:val="0"/>
          <w:i w:val="0"/>
          <w:color w:val="1A1A1A"/>
          <w:sz w:val="21"/>
        </w:rPr>
        <w:t xml:space="preserve">  |  Fetch &amp; Funnel</w:t>
      </w:r>
      <w:r>
        <w:rPr>
          <w:rFonts w:ascii="Times New Roman" w:hAnsi="Times New Roman"/>
          <w:b w:val="0"/>
          <w:i w:val="0"/>
          <w:color w:val="555555"/>
          <w:sz w:val="18"/>
        </w:rPr>
        <w:tab/>
        <w:t>Sep 2022 – Feb 2023</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Closed 6 new-client deals during tenure, averaging ~$22K each (several exceeding $25K) — roughly $130K+ in total bookings.</w:t>
      </w:r>
    </w:p>
    <w:p>
      <w:pPr>
        <w:tabs>
          <w:tab w:pos="10512" w:val="right"/>
        </w:tabs>
        <w:spacing w:before="80" w:after="20"/>
      </w:pPr>
      <w:r>
        <w:rPr>
          <w:rFonts w:ascii="Times New Roman" w:hAnsi="Times New Roman"/>
          <w:b/>
          <w:i w:val="0"/>
          <w:color w:val="1A1A1A"/>
          <w:sz w:val="21"/>
        </w:rPr>
        <w:t>Account Manager, Onboarding Launch Specialist &amp; Team Lead</w:t>
      </w:r>
      <w:r>
        <w:rPr>
          <w:rFonts w:ascii="Times New Roman" w:hAnsi="Times New Roman"/>
          <w:b w:val="0"/>
          <w:i w:val="0"/>
          <w:color w:val="1A1A1A"/>
          <w:sz w:val="21"/>
        </w:rPr>
        <w:t xml:space="preserve">  |  Wix.com</w:t>
      </w:r>
      <w:r>
        <w:rPr>
          <w:rFonts w:ascii="Times New Roman" w:hAnsi="Times New Roman"/>
          <w:b w:val="0"/>
          <w:i w:val="0"/>
          <w:color w:val="555555"/>
          <w:sz w:val="18"/>
        </w:rPr>
        <w:tab/>
        <w:t>Aug 2020 – Aug 2022</w:t>
      </w:r>
    </w:p>
    <w:p>
      <w:pPr>
        <w:spacing w:after="20"/>
      </w:pPr>
      <w:r>
        <w:rPr>
          <w:rFonts w:ascii="Times New Roman" w:hAnsi="Times New Roman"/>
          <w:b w:val="0"/>
          <w:i/>
          <w:color w:val="555555"/>
          <w:sz w:val="18"/>
        </w:rPr>
        <w:t>Remote</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Onboarded and launched 25+ clients per month, holding 120% of sales targets and 110% of implementation targets.</w:t>
      </w:r>
    </w:p>
    <w:p>
      <w:pPr>
        <w:tabs>
          <w:tab w:pos="10512" w:val="right"/>
        </w:tabs>
        <w:spacing w:before="80" w:after="20"/>
      </w:pPr>
      <w:r>
        <w:rPr>
          <w:rFonts w:ascii="Times New Roman" w:hAnsi="Times New Roman"/>
          <w:b/>
          <w:i w:val="0"/>
          <w:color w:val="1A1A1A"/>
          <w:sz w:val="21"/>
        </w:rPr>
        <w:t>Account Executive</w:t>
      </w:r>
      <w:r>
        <w:rPr>
          <w:rFonts w:ascii="Times New Roman" w:hAnsi="Times New Roman"/>
          <w:b w:val="0"/>
          <w:i w:val="0"/>
          <w:color w:val="1A1A1A"/>
          <w:sz w:val="21"/>
        </w:rPr>
        <w:t xml:space="preserve">  |  Accelo</w:t>
      </w:r>
      <w:r>
        <w:rPr>
          <w:rFonts w:ascii="Times New Roman" w:hAnsi="Times New Roman"/>
          <w:b w:val="0"/>
          <w:i w:val="0"/>
          <w:color w:val="555555"/>
          <w:sz w:val="18"/>
        </w:rPr>
        <w:tab/>
        <w:t>Apr 2018 – Jul 2020</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Ranked top three in sales on a team that scaled from 8 to 15 reps, holding that rank across all but the final few months of a 27-month tenure, while quota roughly doubled over the period.</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Consistently performed above commission floor into accelerator ("doubling") tiers, averaging ~$17,750/month in implementation/services bookings (~$213K annualized).</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Guided client onboarding, workflow design, and API integrations, building relationships with C-suite executives as a trusted advisor on operational system design.</w:t>
      </w:r>
    </w:p>
    <w:p>
      <w:pPr>
        <w:tabs>
          <w:tab w:pos="10512" w:val="right"/>
        </w:tabs>
        <w:spacing w:before="80" w:after="20"/>
      </w:pPr>
      <w:r>
        <w:rPr>
          <w:rFonts w:ascii="Times New Roman" w:hAnsi="Times New Roman"/>
          <w:b/>
          <w:i w:val="0"/>
          <w:color w:val="1A1A1A"/>
          <w:sz w:val="21"/>
        </w:rPr>
        <w:t>Co-Owner / Operations Lead</w:t>
      </w:r>
      <w:r>
        <w:rPr>
          <w:rFonts w:ascii="Times New Roman" w:hAnsi="Times New Roman"/>
          <w:b w:val="0"/>
          <w:i w:val="0"/>
          <w:color w:val="1A1A1A"/>
          <w:sz w:val="21"/>
        </w:rPr>
        <w:t xml:space="preserve">  |  Standing Akimbo</w:t>
      </w:r>
      <w:r>
        <w:rPr>
          <w:rFonts w:ascii="Times New Roman" w:hAnsi="Times New Roman"/>
          <w:b w:val="0"/>
          <w:i w:val="0"/>
          <w:color w:val="555555"/>
          <w:sz w:val="18"/>
        </w:rPr>
        <w:tab/>
        <w:t>Jun 2010 – Sep 2012</w:t>
      </w:r>
    </w:p>
    <w:p>
      <w:pPr>
        <w:spacing w:after="20"/>
      </w:pPr>
      <w:r>
        <w:rPr>
          <w:rFonts w:ascii="Times New Roman" w:hAnsi="Times New Roman"/>
          <w:b w:val="0"/>
          <w:i/>
          <w:color w:val="555555"/>
          <w:sz w:val="18"/>
        </w:rPr>
        <w:t>Denver, CO</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Specified and selected HVAC and ventilation equipment for on-site cultivation, exhaust and intake fans, ducting, climate control, and CO2 systems, working directly with equipment vendors to evaluate options and make buying decisions.</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Built compliance and customer-management systems from scratch in a licensed cannabis dispensary.</w:t>
      </w:r>
    </w:p>
    <w:p>
      <w:pPr>
        <w:spacing w:after="30"/>
        <w:ind w:left="259" w:hanging="259"/>
      </w:pPr>
      <w:r>
        <w:rPr>
          <w:rFonts w:ascii="Times New Roman" w:hAnsi="Times New Roman"/>
          <w:b w:val="0"/>
          <w:i w:val="0"/>
          <w:color w:val="1A1A1A"/>
        </w:rPr>
        <w:t xml:space="preserve">•  </w:t>
      </w:r>
      <w:r>
        <w:rPr>
          <w:rFonts w:ascii="Times New Roman" w:hAnsi="Times New Roman"/>
          <w:b w:val="0"/>
          <w:i w:val="0"/>
          <w:color w:val="1A1A1A"/>
        </w:rPr>
        <w:t>Developed early operational infrastructure, intake processes and reporting systems, scaling the business to profitability.</w:t>
      </w:r>
    </w:p>
    <w:p>
      <w:pPr>
        <w:spacing w:before="140" w:after="60"/>
        <w:pBdr>
          <w:bottom w:val="single" w:sz="6" w:space="2" w:color="1a1a1a"/>
        </w:pBdr>
      </w:pPr>
      <w:r>
        <w:rPr>
          <w:rFonts w:ascii="Times New Roman" w:hAnsi="Times New Roman"/>
          <w:b/>
          <w:i w:val="0"/>
          <w:caps/>
          <w:color w:val="1A1A1A"/>
          <w:sz w:val="21"/>
        </w:rPr>
        <w:t>CORE COMPETENCIES</w:t>
      </w:r>
    </w:p>
    <w:p>
      <w:pPr>
        <w:spacing w:after="30"/>
      </w:pPr>
      <w:r>
        <w:rPr>
          <w:rFonts w:ascii="Times New Roman" w:hAnsi="Times New Roman"/>
          <w:b/>
          <w:i w:val="0"/>
          <w:color w:val="1A1A1A"/>
        </w:rPr>
        <w:t xml:space="preserve">Equipment &amp; Technical Buying:  </w:t>
      </w:r>
      <w:r>
        <w:rPr>
          <w:rFonts w:ascii="Times New Roman" w:hAnsi="Times New Roman"/>
          <w:b w:val="0"/>
          <w:i w:val="0"/>
          <w:color w:val="1A1A1A"/>
        </w:rPr>
        <w:t>HVAC/Ventilation Equipment Specification (Buyer-Side), Fan &amp; Airflow Systems, Climate Control &amp; CO2 Systems, Equipment Vendor Evaluation, Regulated-Industry Compliance Systems</w:t>
      </w:r>
    </w:p>
    <w:p>
      <w:pPr>
        <w:spacing w:after="30"/>
      </w:pPr>
      <w:r>
        <w:rPr>
          <w:rFonts w:ascii="Times New Roman" w:hAnsi="Times New Roman"/>
          <w:b/>
          <w:i w:val="0"/>
          <w:color w:val="1A1A1A"/>
        </w:rPr>
        <w:t xml:space="preserve">Sales &amp; Account Management:  </w:t>
      </w:r>
      <w:r>
        <w:rPr>
          <w:rFonts w:ascii="Times New Roman" w:hAnsi="Times New Roman"/>
          <w:b w:val="0"/>
          <w:i w:val="0"/>
          <w:color w:val="1A1A1A"/>
        </w:rPr>
        <w:t>Full-Cycle Sales, Pipeline Management, Quota Attainment, C-Suite Relationship Building, Technical Solution Scoping, Account Expansion</w:t>
      </w:r>
    </w:p>
    <w:p>
      <w:pPr>
        <w:spacing w:after="30"/>
      </w:pPr>
      <w:r>
        <w:rPr>
          <w:rFonts w:ascii="Times New Roman" w:hAnsi="Times New Roman"/>
          <w:b/>
          <w:i w:val="0"/>
          <w:color w:val="1A1A1A"/>
        </w:rPr>
        <w:t xml:space="preserve">Deal Experience:  </w:t>
      </w:r>
      <w:r>
        <w:rPr>
          <w:rFonts w:ascii="Times New Roman" w:hAnsi="Times New Roman"/>
          <w:b w:val="0"/>
          <w:i w:val="0"/>
          <w:color w:val="1A1A1A"/>
        </w:rPr>
        <w:t>Six-Figure ACV Deals, Commission-Accelerator Performance, Competitive Ranking (Top 3 of 15 Reps)</w:t>
      </w:r>
    </w:p>
    <w:p>
      <w:pPr>
        <w:spacing w:after="30"/>
      </w:pPr>
      <w:r>
        <w:rPr>
          <w:rFonts w:ascii="Times New Roman" w:hAnsi="Times New Roman"/>
          <w:b/>
          <w:i w:val="0"/>
          <w:color w:val="1A1A1A"/>
        </w:rPr>
        <w:t xml:space="preserve">CRM &amp; Sales Platforms:  </w:t>
      </w:r>
      <w:r>
        <w:rPr>
          <w:rFonts w:ascii="Times New Roman" w:hAnsi="Times New Roman"/>
          <w:b w:val="0"/>
          <w:i w:val="0"/>
          <w:color w:val="1A1A1A"/>
        </w:rPr>
        <w:t>Salesforce, HubSpot, GoHighLevel, Accelo (CRM/PSA), Microsoft Office</w:t>
      </w:r>
    </w:p>
    <w:p>
      <w:pPr>
        <w:spacing w:before="140" w:after="60"/>
        <w:pBdr>
          <w:bottom w:val="single" w:sz="6" w:space="2" w:color="1a1a1a"/>
        </w:pBdr>
      </w:pPr>
      <w:r>
        <w:rPr>
          <w:rFonts w:ascii="Times New Roman" w:hAnsi="Times New Roman"/>
          <w:b/>
          <w:i w:val="0"/>
          <w:caps/>
          <w:color w:val="1A1A1A"/>
          <w:sz w:val="21"/>
        </w:rPr>
        <w:t>EDUCATION</w:t>
      </w:r>
    </w:p>
    <w:p>
      <w:pPr>
        <w:spacing w:after="30"/>
      </w:pPr>
      <w:r>
        <w:rPr>
          <w:rFonts w:ascii="Times New Roman" w:hAnsi="Times New Roman"/>
          <w:b w:val="0"/>
          <w:i w:val="0"/>
          <w:color w:val="1A1A1A"/>
        </w:rPr>
        <w:t>B.A. Liberal Arts, Minor in Political Science — Colorado State University, Fort Collins, CO (2009)</w:t>
      </w:r>
    </w:p>
    <w:p>
      <w:pPr>
        <w:spacing w:before="140" w:after="60"/>
        <w:pBdr>
          <w:bottom w:val="single" w:sz="6" w:space="2" w:color="1a1a1a"/>
        </w:pBdr>
      </w:pPr>
      <w:r>
        <w:rPr>
          <w:rFonts w:ascii="Times New Roman" w:hAnsi="Times New Roman"/>
          <w:b/>
          <w:i w:val="0"/>
          <w:caps/>
          <w:color w:val="1A1A1A"/>
          <w:sz w:val="21"/>
        </w:rPr>
        <w:t>CERTIFICATIONS</w:t>
      </w:r>
    </w:p>
    <w:p>
      <w:pPr>
        <w:spacing w:after="30"/>
      </w:pPr>
      <w:r>
        <w:rPr>
          <w:rFonts w:ascii="Times New Roman" w:hAnsi="Times New Roman"/>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Times New Roman" w:hAnsi="Times New Roman" w:cs="Times New Roman"/>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