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color w:val="1A1A1A"/>
          <w:sz w:val="36"/>
        </w:rPr>
        <w:t>Joshua Rotenberg</w:t>
      </w:r>
    </w:p>
    <w:p>
      <w:pPr>
        <w:spacing w:after="200"/>
        <w:jc w:val="center"/>
      </w:pPr>
      <w:r>
        <w:rPr>
          <w:rFonts w:ascii="Times New Roman" w:hAnsi="Times New Roman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Times New Roman" w:hAnsi="Times New Roman"/>
          <w:b w:val="0"/>
          <w:color w:val="1A1A1A"/>
        </w:rPr>
        <w:t>September 19, 2026</w:t>
      </w:r>
    </w:p>
    <w:p>
      <w:pPr>
        <w:spacing w:after="20"/>
      </w:pPr>
      <w:r>
        <w:rPr>
          <w:rFonts w:ascii="Times New Roman" w:hAnsi="Times New Roman"/>
          <w:b/>
          <w:color w:val="1A1A1A"/>
        </w:rPr>
        <w:t>ZIEHL-ABEGG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Re: Technical Sales Representative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Dear Hiring Team,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Before I sold anything for a living, I bought fan and ventilation equipment for a living. As co-owner of a licensed cannabis cultivation facility, I specified and selected the exhaust and intake fans, ducting, climate control, and CO2 systems that kept the grow running, and I sat across the table from equipment vendors to evaluate options and make the buying decision. I know what a technical buyer actually weighs when comparing airflow and climate-control equipment, because I have been that buyer.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I have spent the 15 years since building a B2B sales career on that same foundation: full-cycle ownership, technical solution scoping, and account growth. At Accelo, I guided client onboarding, workflow design, and API integrations as a trusted advisor to C-suite executives, and ranked top three in sales on a team that scaled from 8 to 15 reps, sustaining that rank through a 27-month tenure while quota roughly doubled. I am proficient across four CRM platforms and have consistently managed a full sales cycle from first contact through close, expansion, and renewal.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I do not have a formal engineering degree or prior HVAC industry sales experience, but I understand this equipment from the buyer's side and I know how to run a sales process. I would welcome the chance to talk through how that combination applies to ZIEHL-ABEGG's OEM accounts.</w:t>
      </w:r>
    </w:p>
    <w:p>
      <w:pPr>
        <w:spacing w:after="280"/>
      </w:pPr>
      <w:r>
        <w:rPr>
          <w:rFonts w:ascii="Times New Roman" w:hAnsi="Times New Roman"/>
          <w:b w:val="0"/>
          <w:color w:val="1A1A1A"/>
        </w:rPr>
        <w:t>Sincerely,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Times New Roman" w:hAnsi="Times New Roman" w:cs="Times New Roman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