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Aaron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SEO Specialist — Technical SEO &amp; Reputation Marketing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SEO and digital marketing specialist with 4 years of hands-on SEO experience, technical audits, keyword gap analysis, and schema/structured data implementation using Screaming Frog, Ahrefs, and Semrush, inside a 15+ year client-facing career. Builds automated review-generation workflows for local service businesses and onboarded partners at Birdeye, a reputation-management and local-marketing platform. Comfortable owning a client's SEO program end to end, from technical fixes through reporting and account growth.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 using Screaming Frog for site-wide SEO data pulls,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and implement schema/structured data as part of technical SEO audits, pulling full on-page schema implementation.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review-generation sequences and segmented outreach campaigns (including low-reviews campaigns) as part of a 20+ workflow GoHighLevel marketing-automation system for local service businesses.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assets, including landing pages and conversion-focused copy, improving lead generation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reputation-management solutions for local businesses.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practices, contributing to a 30% increase in website traffic and 25% improvement in conversion rates across the e-commerce segment.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SEO:  </w:t>
      </w:r>
      <w:r>
        <w:rPr>
          <w:rFonts w:ascii="Calibri" w:hAnsi="Calibri"/>
          <w:b w:val="0"/>
          <w:i w:val="0"/>
          <w:color w:val="1A1A1A"/>
        </w:rPr>
        <w:t>Technical SEO Audits, Schema/Structured Data, Keyword Research &amp; Gap Analysis (Ahrefs, Semrush), Site-Wide SEO Data Pulls (Screaming Frog), Reputation &amp; Review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&amp; Account Management:  </w:t>
      </w:r>
      <w:r>
        <w:rPr>
          <w:rFonts w:ascii="Calibri" w:hAnsi="Calibri"/>
          <w:b w:val="0"/>
          <w:i w:val="0"/>
          <w:color w:val="1A1A1A"/>
        </w:rPr>
        <w:t>Client-Facing Account Ownership, Reporting &amp; Recommendations, Client Retention, Cross-Functional Coordination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Google Tag Manager, Google Apps, GoHighLevel, HubSpot, Wix (CMS), Ahrefs, Semrush, Screaming Frog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Growth:  </w:t>
      </w:r>
      <w:r>
        <w:rPr>
          <w:rFonts w:ascii="Calibri" w:hAnsi="Calibri"/>
          <w:b w:val="0"/>
          <w:i w:val="0"/>
          <w:color w:val="1A1A1A"/>
        </w:rPr>
        <w:t>Landing Pages, Direct-Response Copy, Conversion Rate Optimization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