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Aaron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September 15, 2026</w:t>
      </w:r>
    </w:p>
    <w:p>
      <w:pPr>
        <w:spacing w:after="20"/>
      </w:pPr>
      <w:r>
        <w:rPr>
          <w:rFonts w:ascii="Calibri" w:hAnsi="Calibri"/>
          <w:b/>
          <w:color w:val="1A1A1A"/>
        </w:rPr>
        <w:t>Rankings.io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Local SEO Specialist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Dear 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 want to be direct about where I stand on this role: my SEO background is technical audits, keyword gap analysis, and schema work, not hands-on Google Business Profile management or local-listings/citation work for enterprise brands specifically. What I do bring is closely adjacent, and I think it's worth a conversation.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At Solenzo, I run technical SEO audits and competitor research with Screaming Frog, implement schema and structured data, and built a 20+ workflow marketing-automation system for local service businesses that includes automated review-generation sequences, the reputation side of local SEO. Before that, at Birdeye, I onboarded 15-20 partners onto a reputation-management and local-marketing platform with roughly 94% retention, so I know that product category from the inside even though I wasn't the one running GBP optimizations myself. I also bring 15+ years of owning client relationships end to end: reporting, retention, and finding the next growth opportunity in an account, which is most of what this role asks for beyond the GBP mechanics.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 learn fast and I'm confident I could be productive on GBP-specific work quickly, but I'd rather say that plainly than let a resume imply experience I don't have. I'd welcome the chance to talk through how the rest of my background fits what you're building for your law firm clients.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Sincerely,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Aaron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