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Account Manager | Integrated Web, Digital &amp; Creative Strategy for Agency Clients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Senior account manager and agency strategist with 15+ years in client-facing marketing, SaaS, and agency roles. I've managed integrated programs across web, SEO, paid media, and content at Level Agency and Fetch &amp; Funnel, led a team of up to 20 at Wix while managing a high-value account portfolio, and today own strategic client relationships at Solenzo. I'm hands-on across the stack (site builds, GA4, SEO, Google Ads), so I can read cross-channel performance data and explain it to an executive in plain language. I use AI daily to automate the routine work and spend the time on strategy.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to surface goals, market challenges, and needs the client hasn't articulated yet.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Grow retainer scope by identifying strategic opportunities and recommending complementary services aligned with each client's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 integrated programs spanning website builds, local SEO and Google Business Profile, Google Ads, and CRM automation, and diagnosed on-site CRO as a client's real conversion bottleneck after cleaning up their Google Ads.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dashboards and actionable recommendations, tracking traffic, conversion, and ROI in GA4 and CRM analytics.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AI-driven workflows that automate routine marketing and reporting tasks, freeing time for strategy.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 as strategic lead,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budget planning and allocation across paid campaigns, and ran A/B-tested LinkedIn campaigns for highly researched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reporting tracking ROI, CAC, LTV, and conversion KPIs, and presented recommendations in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15-20 agency and reseller partners (deals ~$10K-$45K) across health, home services, and retail,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automation, and fed prioritized feedback to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the sales team, closing 6 new-client deals averaging ~$22K (~$130K+ total bookings).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(20, later 8), mentoring new hires and developing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C-suite executives at agencies and professional-services firms on operational system design, ranking top three in sales on a team of 8 to 15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Strategy:  </w:t>
      </w:r>
      <w:r>
        <w:rPr>
          <w:rFonts w:ascii="Calibri" w:hAnsi="Calibri"/>
          <w:b w:val="0"/>
          <w:i w:val="0"/>
          <w:color w:val="1A1A1A"/>
        </w:rPr>
        <w:t>Portfolio Management, Strategic Roadmaps, Account Growth &amp; Renewal, Executive Presentations, QBRs, Mentoring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Integrated Marketing:  </w:t>
      </w:r>
      <w:r>
        <w:rPr>
          <w:rFonts w:ascii="Calibri" w:hAnsi="Calibri"/>
          <w:b w:val="0"/>
          <w:i w:val="0"/>
          <w:color w:val="1A1A1A"/>
        </w:rPr>
        <w:t>Website Strategy &amp; Conversion, SEO &amp; Local SEO, Google Ads, Paid Social (Meta certified), LinkedIn Ads, Content &amp; Direct-Response Copy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Tools:  </w:t>
      </w:r>
      <w:r>
        <w:rPr>
          <w:rFonts w:ascii="Calibri" w:hAnsi="Calibri"/>
          <w:b w:val="0"/>
          <w:i w:val="0"/>
          <w:color w:val="1A1A1A"/>
        </w:rPr>
        <w:t>GA4, Google Tag Manager, Google Search Console, Budget Allocation, HubSpot, Salesforce, AI Workflow Automation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