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Retention &amp; Success Leader |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retention leader with 15+ years in B2B SaaS, focused on keeping SMB and mid-market customers through the moments that decide whether they stay. Retained all but one of 15-20 reseller partners at Birdeye (~94%) by catching adoption gaps early and turning partner feedback into product input. Led a team of up to 20 onboarding specialists at Wix for two years, hiring, training, and coaching to 110% of implementation targets. Builds AI-driven automation and clean CRM structures so a team spends its time on customers instead of admin, with hands-on Salesforce, HubSpot, and Zendesk experience.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service-business clients, from discovery and onboarding through retention and scope expansion.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SMS and email recovery and reactivation workflows (no-show recovery, long-term reactivation, review requests) within a 20+ workflow GoHighLevel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LLM-based agent workflows and automation in Zapier, Make, and n8n that remove manual admin, and evaluate AI output against rubric-based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structures in GoHighLevel and HubSpot with lifecycle stages, user permissions, and strict data-hygiene rules, and document every client interaction and deliverable.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 on multi-stakeholder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and delivered QBRs that turned performance data into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 so they could keep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Turned recurring partner friction into structured, prioritized feedback for Product and Engineering, and tracked the book in Salesforce.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sequences and communication workflows that reduced onboarding friction across the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running client accounts end to end, and built processes that reduced handoff errors and improved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training new team members and developed sales training for tenured account executives, helping take a new vertical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25+ clients per month personally while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CRM fields for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to leadership early and mitigated it with direct strategic guidance, advising C-suite clients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Troubleshot workflow and technical issues during setup alongside implementation teams, tracking customer issues in Zendesk.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Retention &amp; Recovery:  </w:t>
      </w:r>
      <w:r>
        <w:rPr>
          <w:rFonts w:ascii="Calibri" w:hAnsi="Calibri"/>
          <w:b w:val="0"/>
          <w:i w:val="0"/>
          <w:color w:val="1A1A1A"/>
        </w:rPr>
        <w:t>At-Risk Account Triage, Churn Prevention, Executive Escalations, Customer Health Metrics, Root-Cause Feedback to Product, Cross-Functional Mobilization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Leadership:  </w:t>
      </w:r>
      <w:r>
        <w:rPr>
          <w:rFonts w:ascii="Calibri" w:hAnsi="Calibri"/>
          <w:b w:val="0"/>
          <w:i w:val="0"/>
          <w:color w:val="1A1A1A"/>
        </w:rPr>
        <w:t>Coaching &amp; 1:1s, Hiring &amp; Onboarding, Training Program Design, Performance Expectations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Automation:  </w:t>
      </w:r>
      <w:r>
        <w:rPr>
          <w:rFonts w:ascii="Calibri" w:hAnsi="Calibri"/>
          <w:b w:val="0"/>
          <w:i w:val="0"/>
          <w:color w:val="1A1A1A"/>
        </w:rPr>
        <w:t>Salesforce, Zendesk, HubSpot, GoHighLevel, Zapier, Make, n8n, LLM Workflows, CRM Hygiene &amp; Documentation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