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Toast</w:t>
      </w:r>
    </w:p>
    <w:p>
      <w:pPr>
        <w:spacing w:after="160"/>
      </w:pPr>
      <w:r>
        <w:rPr>
          <w:rFonts w:ascii="Calibri" w:hAnsi="Calibri"/>
          <w:b w:val="0"/>
          <w:color w:val="1A1A1A"/>
        </w:rPr>
        <w:t>Re: Onboarding Consultant I, Guest</w:t>
      </w:r>
    </w:p>
    <w:p>
      <w:pPr>
        <w:spacing w:after="160"/>
      </w:pPr>
      <w:r>
        <w:rPr>
          <w:rFonts w:ascii="Calibri" w:hAnsi="Calibri"/>
          <w:b w:val="0"/>
          <w:color w:val="1A1A1A"/>
        </w:rPr>
        <w:t>Dear Hiring Team,</w:t>
      </w:r>
    </w:p>
    <w:p>
      <w:pPr>
        <w:spacing w:after="160"/>
      </w:pPr>
      <w:r>
        <w:rPr>
          <w:rFonts w:ascii="Calibri" w:hAnsi="Calibri"/>
          <w:b w:val="0"/>
          <w:color w:val="1A1A1A"/>
        </w:rPr>
        <w:t>I spent 15+ years cooking in restaurants before I ever worked in software. I know what a Friday rush does to a kitchen, how a menu change ripples from the line to the front of house, and how little patience an owner has for anything that slows service down. That's the customer I'd be onboarding, and I've been on their side of the pass.</w:t>
      </w:r>
    </w:p>
    <w:p>
      <w:pPr>
        <w:spacing w:after="160"/>
      </w:pPr>
      <w:r>
        <w:rPr>
          <w:rFonts w:ascii="Calibri" w:hAnsi="Calibri"/>
          <w:b w:val="0"/>
          <w:color w:val="1A1A1A"/>
        </w:rPr>
        <w:t>Since then I've built a SaaS career on getting small-business owners live. At Wix I carried up to 25 onboardings at once and launched 25+ clients a month at 110% of my implementation target and 120% of my sales target. At Birdeye I onboarded and trained a partner network on reputation and marketing tools and retained all but one of 15 to 20. At Fivestars I sold a loyalty platform to local businesses, so guest engagement tools are familiar ground.</w:t>
      </w:r>
    </w:p>
    <w:p>
      <w:pPr>
        <w:spacing w:after="160"/>
      </w:pPr>
      <w:r>
        <w:rPr>
          <w:rFonts w:ascii="Calibri" w:hAnsi="Calibri"/>
          <w:b w:val="0"/>
          <w:color w:val="1A1A1A"/>
        </w:rPr>
        <w:t>I'd bring a cook's sense of what matters during service and an onboarding lead's discipline about go-live. Open to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