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SEO &amp; AEO Strategist | AI-Native Search &amp; Content Systems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SEO practitioner with 4+ years of hands-on technical SEO work, schema and structured data implementation, and keyword strategy, paired with genuine, daily fluency building the AI agent systems and LLM workflows that are reshaping how content gets found and interpreted. As founder of Solenzo, I own strategy and execution myself, end to end, then ship it, test it, and iterate. Comfortable working at the technical edge of how bots and LLMs actually consume content, not just theorizing about it.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SEO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Identify and implement schema and structured data as part of technical SEO audits, pulling full on-page schema implementation.</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autonomous, AI-driven marketing systems, translating stakeholders' generalized ideas into precise, structured AI prompts and agent instructions.</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agent outputs and continuously optimize performance.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contributing to a 30% increase in website traffic and 25% improvement in conversion rates.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Technical SEO:  </w:t>
      </w:r>
      <w:r>
        <w:rPr>
          <w:rFonts w:ascii="Calibri" w:hAnsi="Calibri"/>
          <w:b w:val="0"/>
          <w:i w:val="0"/>
          <w:color w:val="1A1A1A"/>
        </w:rPr>
        <w:t>Technical SEO Audits, Schema &amp; Structured Data, Keyword Strategy, Site Architecture</w:t>
      </w:r>
    </w:p>
    <w:p>
      <w:pPr>
        <w:spacing w:after="30"/>
      </w:pPr>
      <w:r>
        <w:rPr>
          <w:rFonts w:ascii="Calibri" w:hAnsi="Calibri"/>
          <w:b/>
          <w:i w:val="0"/>
          <w:color w:val="1A1A1A"/>
        </w:rPr>
        <w:t xml:space="preserve">AI &amp; LLM Systems:  </w:t>
      </w:r>
      <w:r>
        <w:rPr>
          <w:rFonts w:ascii="Calibri" w:hAnsi="Calibri"/>
          <w:b w:val="0"/>
          <w:i w:val="0"/>
          <w:color w:val="1A1A1A"/>
        </w:rPr>
        <w:t>Agentic AI, LLM Workflows, Prompt Design, Evaluation Frameworks, Claude, ChatGPT</w:t>
      </w:r>
    </w:p>
    <w:p>
      <w:pPr>
        <w:spacing w:after="30"/>
      </w:pPr>
      <w:r>
        <w:rPr>
          <w:rFonts w:ascii="Calibri" w:hAnsi="Calibri"/>
          <w:b/>
          <w:i w:val="0"/>
          <w:color w:val="1A1A1A"/>
        </w:rPr>
        <w:t xml:space="preserve">Content &amp; Growth:  </w:t>
      </w:r>
      <w:r>
        <w:rPr>
          <w:rFonts w:ascii="Calibri" w:hAnsi="Calibri"/>
          <w:b w:val="0"/>
          <w:i w:val="0"/>
          <w:color w:val="1A1A1A"/>
        </w:rPr>
        <w:t>Content Strategy, Organic Growth, Conversion Optimization</w:t>
      </w:r>
    </w:p>
    <w:p>
      <w:pPr>
        <w:spacing w:after="30"/>
      </w:pPr>
      <w:r>
        <w:rPr>
          <w:rFonts w:ascii="Calibri" w:hAnsi="Calibri"/>
          <w:b/>
          <w:i w:val="0"/>
          <w:color w:val="1A1A1A"/>
        </w:rPr>
        <w:t xml:space="preserve">Execution:  </w:t>
      </w:r>
      <w:r>
        <w:rPr>
          <w:rFonts w:ascii="Calibri" w:hAnsi="Calibri"/>
          <w:b w:val="0"/>
          <w:i w:val="0"/>
          <w:color w:val="1A1A1A"/>
        </w:rPr>
        <w:t>Autonomous Ownership, Experimentation, Cross-Functional Coordination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