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SEO &amp; Growth Marketing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Colorado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and growth professional with 15+ years in MarTech, SaaS, and agency environments, including 4 years of hands-on SEO work spanning technical audits, keyword and competitor research, and schema/structured data implementation. Builds analytics and reporting infrastructure in GA4, Google Search Console, Ahrefs, and Semrush, and connects organic performance to pipeline and revenue. Brings hands-on fluency building AI and LLM-driven systems as well, practical grounding for work that spans traditional SEO and answer-engine visibility.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 using Screaming Frog for site-wide SEO data pulls,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and implement schema/structured data as part of technical SEO audits, pulling full on-page schema implementation.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for service-based businesses, translating non-technical stakeholders' generalized ideas into precise, structured AI prompts and agent instructions.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across health, home services, and retail verticals,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Technical:  </w:t>
      </w:r>
      <w:r>
        <w:rPr>
          <w:rFonts w:ascii="Calibri" w:hAnsi="Calibri"/>
          <w:b w:val="0"/>
          <w:i w:val="0"/>
          <w:color w:val="1A1A1A"/>
        </w:rPr>
        <w:t>Technical SEO Audits, Keyword &amp; Competitor Research, On-Page SEO, Schema / Structured Data, Content Gap Analysis, Screaming Frog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Google Search Console, Google Tag Manager, Ahrefs, Semrush, ROI Dashboards,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Emerging Search:  </w:t>
      </w:r>
      <w:r>
        <w:rPr>
          <w:rFonts w:ascii="Calibri" w:hAnsi="Calibri"/>
          <w:b w:val="0"/>
          <w:i w:val="0"/>
          <w:color w:val="1A1A1A"/>
        </w:rPr>
        <w:t>LLM Workflows, Agentic AI, Prompt Design, Requirements-to-Prompt Translation,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Content:  </w:t>
      </w:r>
      <w:r>
        <w:rPr>
          <w:rFonts w:ascii="Calibri" w:hAnsi="Calibri"/>
          <w:b w:val="0"/>
          <w:i w:val="0"/>
          <w:color w:val="1A1A1A"/>
        </w:rPr>
        <w:t>Full-Funnel Acquisition, Content Strategy, Thought Leadership, Technical Translation, CRO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Collaboration:  </w:t>
      </w:r>
      <w:r>
        <w:rPr>
          <w:rFonts w:ascii="Calibri" w:hAnsi="Calibri"/>
          <w:b w:val="0"/>
          <w:i w:val="0"/>
          <w:color w:val="1A1A1A"/>
        </w:rPr>
        <w:t>Stakeholder Communication, Cross-Team Coordination, Executive Reporting, Process Documentation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