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23, 2026</w:t>
      </w:r>
    </w:p>
    <w:p>
      <w:pPr>
        <w:spacing w:after="20"/>
      </w:pPr>
      <w:r>
        <w:rPr>
          <w:rFonts w:ascii="Calibri" w:hAnsi="Calibri"/>
          <w:b/>
          <w:color w:val="1A1A1A"/>
        </w:rPr>
        <w:t>Cox Automotive (Dealer.com)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Digital Marketing/Communications Specialist I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Digital Marketing/Communications Specialist I role because managing a portfolio of client accounts through paid search, reporting, and steady communication is work I already do well and enjoy doing hands-on.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As founder of Solenzo, I run paid and organic acquisition for my own client base - optimizing Google Ads accounts, running technical SEO audits and competitor research, and tracking results in GA4 to know what to fix next. Before that, at Level Agency, I ran keyword research and search-term analysis to shape campaign targeting, and built reporting frameworks tracking ROI, CAC, and conversion KPIs for client QBRs. Across a decade of account-management roles at Wix, Birdeye, and Accelo, I've documented client interactions in Salesforce and used data to guide honest, useful recommendations rather than just hitting a reporting deadline.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the opportunity to bring that hands-on discipline to a dedicated book of dealer accounts. Thank you for considering my application.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