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August 11,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Storage Asset Management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Marketing Generalist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Storage Asset Management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Marketing Generalist role because its operating model is familiar: use location-level performance data to identify the constraint, build a tailored marketing plan, and align revenue, operations, and delivery teams around the work. Through Solenzo I do that for service-based businesses today, combining campaign strategy, CRM architecture, analytics, and hands-on execution rather than separating planning from implementation.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evidence maps closely to SAM's priorities. I have built 20+ GoHighLevel workflows across lead capture, qualification, booking, nurture, reactivation, and reviews, plus an automated prospect-audit workflow that enrolled 180+ contacts. At Level Agency I managed integrated inbound, paid-media, and content strategies and built reporting around ROI, CAC, LTV, and conversion. At Wix I onboarded and launched 25+ clients per month while reaching 120% of sales targets and 110% of implementation targets; across the e-commerce segment I supported, website traffic increased 30% and conversion rates improved 25%.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Self-storage would be a new vertical, but the underlying work is not: diagnosing local-market performance, adapting strategy by audience and operating context, coordinating multiple stakeholders, and measuring whether lead generation and conversion actually improve. I would bring SAM a direct, analytical working style and the ability to move from insight to execution across email, paid media, SEO, content, landing pages, and CRM automation. Thank you for your consideration.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