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SEO &amp; AEO Manager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SEO and growth marketing manager with 4+ years of hands-on SEO experience and a decade-plus in B2B marketing and account management. Runs technical SEO audits, keyword strategy, and on-page schema implementation personally, ties performance to GA4 and CRM data, and reports results with a clear point of view on what to do next. Builds and uses AI tooling daily, including hands-on agent-building work with Claude, to run growth systems more efficiently, not just to keep up with client conversations about AI visibility and search.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 gap analyses, and competitor research using Screaming Frog for site-wide SEO data pulls, implementing fixes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and implement schema and structured data as part of technical SEO audits, pulling full on-page schema implementation.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 - cut spam/low-quality leads and improved click-through quality - and diagnosed on-site CRO as the remaining conversion bottleneck, demonstrating full-funnel troubleshooting.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autonomous, AI-driven marketing systems using tools including Claude and ChatGPT, translating stakeholders' business intent into structured AI agent workflows for lead scoring and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Grew client Meke Marketing's retainer from ~$12K/year to ~$24K/year (100% increase) within the first year of the engagement, by identifying and scoping expansion opportunities.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backed by rigorous tracking across sales enablement, marketing, and operations.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campaign targeting and content direction.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SEO &amp; Search Visibility:  </w:t>
      </w:r>
      <w:r>
        <w:rPr>
          <w:rFonts w:ascii="Calibri" w:hAnsi="Calibri"/>
          <w:b w:val="0"/>
          <w:i w:val="0"/>
          <w:color w:val="1A1A1A"/>
        </w:rPr>
        <w:t>Technical SEO Audits, Keyword Research &amp; Gap Analysis, On-Page Schema &amp; Structured Data, Content Optimization, Screaming Frog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Agentic AI Workflow Design (Claude, ChatGPT), Prompt Design, AI-Driven Process Automation, Rapid Prototyping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Google Search Console, GA4, Ahrefs, Semrush, Campaign Attribution, KPI Tracking, QBRs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Account &amp; Growth Management:  </w:t>
      </w:r>
      <w:r>
        <w:rPr>
          <w:rFonts w:ascii="Calibri" w:hAnsi="Calibri"/>
          <w:b w:val="0"/>
          <w:i w:val="0"/>
          <w:color w:val="1A1A1A"/>
        </w:rPr>
        <w:t>Client Portfolio Ownership, Retainer Expansion &amp; Upsell, Cross-Functional Coordination, CRO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Google/Coursera (Sept 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