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28, 2026</w:t>
      </w:r>
    </w:p>
    <w:p>
      <w:pPr>
        <w:spacing w:after="20"/>
      </w:pPr>
      <w:r>
        <w:rPr>
          <w:rFonts w:ascii="Calibri" w:hAnsi="Calibri"/>
          <w:b/>
          <w:color w:val="1A1A1A"/>
        </w:rPr>
        <w:t>Wander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Senior Growth Marketing Manager, WanderOS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WanderOS sells a website builder, automated marketing, and integrations to operators who would rather run their business than their tech stack. I've been on both sides of that pitch. At Wix, I helped SMBs launch on a website builder and grow from there, contributing to a 25% conversion lift across the e-commerce segment. At Solenzo, the company I founded, I sell and build exactly that kind of system for local service operators: the site, the tracking, the follow-up automation, and the ads that feed it.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The growth work is hands-on. I've run Google Ads and A/B-tested LinkedIn campaigns (Meta certified), do the technical SEO myself, build landing pages and sign-up flows, and pull the numbers in SQL and GA4. My own top-of-funnel offer, a free digital-footprint audit, brought in 180+ businesses through organic LinkedIn and converted two into paying clients, a small but honest funnel that I own at every step. At Birdeye, I onboarded and managed a reseller channel of 15 to 20 agencies and kept all but one, which is the partner motion your role also covers.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haven't worked in vacation rentals, and I'd be learning the PMS landscape. The buyer isn't new to me, though: an owner-operator who's skeptical of software and short on time. I'd welcome a conversation about where WanderOS sign-ups are coming from today.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Best,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