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October 15, 2026</w:t>
      </w:r>
    </w:p>
    <w:p>
      <w:pPr>
        <w:spacing w:after="20"/>
      </w:pPr>
      <w:r>
        <w:rPr>
          <w:rFonts w:ascii="Calibri" w:hAnsi="Calibri"/>
          <w:b/>
          <w:color w:val="1A1A1A"/>
        </w:rPr>
        <w:t>Scotch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Customer Onboarding Specialist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applying for the Senior Customer Onboarding Specialist role in Denver. Before my SaaS career I co-owned a state-licensed retail business here, so I know what a store owner's week looks like: compliance on one side, vendors and suppliers on the other, and no time for a system that isn't working on day one.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At Wix I onboarded 25+ small businesses a month, with about 25 in flight at once, at 110% of implementation targets, including e-commerce launches for brick-and-mortar retailers. I aimed to launch each customer on the first call and planned multi-session builds for the complex ones so go-live never slipped. At Birdeye I led onboarding and training for a partner network and kept all but one. Your line about customers never having to chase an update is how I run every implementation.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I'm local to Denver and comfortable with travel, evenings, and weekends when an install needs it. I'd welcome a conversation.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