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Account Manager | Agency Client Strategy, Retention &amp; Team Development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Account management leader with 15+ years in client-facing roles across agencies and MarTech SaaS, owning strategy, retention, and expansion for a portfolio of digital marketing clients. Retained ~94% of a 15-20 partner book at Birdeye, led a team of 20 (later 8) onboarding specialists at Wix, and delivered QBRs across paid media, inbound, and content programs at Level Agency. Brings hands-on command of paid search, paid social (Meta Ads certified), local SEO, reputation management, and AI-driven process automation.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strategic relationship and digital marketing direction for a portfolio of service-business clients, running discovery to surface goals, challenges, and priorities.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 local SEO, Google Business Profile optimization, and review-generation programs, and expand retainer scope with complementary services aligned to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spam and low-quality leads,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AI agents and automated workflows (GoHighLevel, Zapier, Make, n8n) that turn manual, repeatable tasks into scalable processes.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digital strategies across paid media, inbound, and content as strategic lead,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tracking ROI, CAC, LTV, and conversion KPIs, and delivered QBRs with data-backed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paid-campaign budget planning and allocation, and ran ABM-style LinkedIn ad campaigns with A/B-tested targeting.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Partner Account Management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 reputation management and local-listings solutions, ensuring every end customer had a properly configured listings presence.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 client feedback with Product and Engineering to inform the platform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reporting, and cross-team communication, and led the sales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campaign performance data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of onboarding specialists for 2 years (20, later 8), contributing to hiring, onboarding, and training new hires and building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new Wix vertical that went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operations software to agencies and professional-services firms, ranking top three on a team that scaled from 8 to 15 reps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trusted-advisor relationships with C-suite executives, escalating account risk early and resolving it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Strategy &amp; Retention:  </w:t>
      </w:r>
      <w:r>
        <w:rPr>
          <w:rFonts w:ascii="Calibri" w:hAnsi="Calibri"/>
          <w:b w:val="0"/>
          <w:i w:val="0"/>
          <w:color w:val="1A1A1A"/>
        </w:rPr>
        <w:t>Portfolio Retention &amp; Expansion, QBRs &amp; Executive Presentations, Strategic Recommendations &amp; Market Analysis, Team Leadership &amp; Mentorship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Digital Marketing:  </w:t>
      </w:r>
      <w:r>
        <w:rPr>
          <w:rFonts w:ascii="Calibri" w:hAnsi="Calibri"/>
          <w:b w:val="0"/>
          <w:i w:val="0"/>
          <w:color w:val="1A1A1A"/>
        </w:rPr>
        <w:t>Paid Search (Google Ads), Paid Social (Meta Ads certified, LinkedIn Ads), Local SEO &amp; Google Business Profile, Reputation Management &amp; Listings, Email Marketing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Analytics, Systems &amp; AI:  </w:t>
      </w:r>
      <w:r>
        <w:rPr>
          <w:rFonts w:ascii="Calibri" w:hAnsi="Calibri"/>
          <w:b w:val="0"/>
          <w:i w:val="0"/>
          <w:color w:val="1A1A1A"/>
        </w:rPr>
        <w:t>GA4, Google Tag Manager, KPI Dashboards &amp; Campaign Reporting, HubSpot, Salesforce, GoHighLevel, AI Agents &amp; Workflow Automation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