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Channel Marketing &amp; Partner Programs Manager</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Channel and marketing professional with direct reseller-partner relationship management experience (15-20 partners, ~94% retention at Birdeye) and 15+ years building the ROI and pipeline reporting that proves marketing's contribution to revenue. Runs integrated campaigns end to end and partners directly with sales teams to turn programs into pipeline. Worth naming directly: that partner-management tenure was 14 months, not several years dedicated to channel marketing specifically, and I haven't personally planned or run field events like conferences, roadshows, or summits.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Align marketing programs to revenue objectives directly with business owners and sales teams, producing consistent messaging and qualified lead flow.</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 automation and reputation-management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automated workflows, equipping them to communicate product value and strengthen their own go-to-market.</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Channel &amp; Partner Marketing:  </w:t>
      </w:r>
      <w:r>
        <w:rPr>
          <w:rFonts w:ascii="Calibri" w:hAnsi="Calibri"/>
          <w:b w:val="0"/>
          <w:i w:val="0"/>
          <w:color w:val="1A1A1A"/>
        </w:rPr>
        <w:t>Channel Partner Relationship Management, Partner Enablement &amp; Onboarding, Partner Retention, Reseller Network Management</w:t>
      </w:r>
    </w:p>
    <w:p>
      <w:pPr>
        <w:spacing w:after="30"/>
      </w:pPr>
      <w:r>
        <w:rPr>
          <w:rFonts w:ascii="Calibri" w:hAnsi="Calibri"/>
          <w:b/>
          <w:i w:val="0"/>
          <w:color w:val="1A1A1A"/>
        </w:rPr>
        <w:t xml:space="preserve">Marketing Programs &amp; ROI:  </w:t>
      </w:r>
      <w:r>
        <w:rPr>
          <w:rFonts w:ascii="Calibri" w:hAnsi="Calibri"/>
          <w:b w:val="0"/>
          <w:i w:val="0"/>
          <w:color w:val="1A1A1A"/>
        </w:rPr>
        <w:t>Integrated Campaign Management, ROI &amp; Pipeline Reporting, Marketing-Sales Alignment, Lead Generation</w:t>
      </w:r>
    </w:p>
    <w:p>
      <w:pPr>
        <w:spacing w:after="30"/>
      </w:pPr>
      <w:r>
        <w:rPr>
          <w:rFonts w:ascii="Calibri" w:hAnsi="Calibri"/>
          <w:b/>
          <w:i w:val="0"/>
          <w:color w:val="1A1A1A"/>
        </w:rPr>
        <w:t xml:space="preserve">Operations:  </w:t>
      </w:r>
      <w:r>
        <w:rPr>
          <w:rFonts w:ascii="Calibri" w:hAnsi="Calibri"/>
          <w:b w:val="0"/>
          <w:i w:val="0"/>
          <w:color w:val="1A1A1A"/>
        </w:rPr>
        <w:t>Budget Oversight, Cross-Functional Coordination, Project Management</w:t>
      </w:r>
    </w:p>
    <w:p>
      <w:pPr>
        <w:spacing w:after="30"/>
      </w:pPr>
      <w:r>
        <w:rPr>
          <w:rFonts w:ascii="Calibri" w:hAnsi="Calibri"/>
          <w:b/>
          <w:i w:val="0"/>
          <w:color w:val="1A1A1A"/>
        </w:rPr>
        <w:t xml:space="preserve">Tools:  </w:t>
      </w:r>
      <w:r>
        <w:rPr>
          <w:rFonts w:ascii="Calibri" w:hAnsi="Calibri"/>
          <w:b w:val="0"/>
          <w:i w:val="0"/>
          <w:color w:val="1A1A1A"/>
        </w:rPr>
        <w:t>Salesforce, HubSpot, GoHighLevel, GA4, Google Apps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