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&amp; Account Management — Retention, Onboarding, and Business Reviews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professional who retained all but one of a 15–20 partner portfolio at Birdeye (~94%, deals $10K–$45K) and onboarded and launched 25+ clients per month at Wix while holding 110% of implementation targets. 15+ years in SaaS, MarTech, and service-based businesses owning the post-sale relationship end to end: onboarding and training, business reviews, adoption and KPI reporting, churn risk, and expansion. Works backward from each client's business objectives, and builds the processes and training that keep delivery consistent across a portfolio.</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and onboarding to surface client goals, objectives, and market challenges.</w:t>
      </w:r>
    </w:p>
    <w:p>
      <w:pPr>
        <w:spacing w:after="30"/>
        <w:ind w:left="259" w:hanging="259"/>
      </w:pPr>
      <w:r>
        <w:rPr>
          <w:rFonts w:ascii="Calibri" w:hAnsi="Calibri"/>
          <w:b w:val="0"/>
          <w:i w:val="0"/>
          <w:color w:val="163A5F"/>
        </w:rPr>
        <w:t xml:space="preserve">•  </w:t>
      </w:r>
      <w:r>
        <w:rPr>
          <w:rFonts w:ascii="Calibri" w:hAnsi="Calibri"/>
          <w:b w:val="0"/>
          <w:i w:val="0"/>
          <w:color w:val="1A1A1A"/>
        </w:rPr>
        <w:t>Own post-sale value delivery for B2B clients, architecting onboarding and technical setup that drives product adoption at scale.</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rigorous tracking across sales enablement, marketing, and operations.</w:t>
      </w:r>
    </w:p>
    <w:p>
      <w:pPr>
        <w:spacing w:after="30"/>
        <w:ind w:left="259" w:hanging="259"/>
      </w:pPr>
      <w:r>
        <w:rPr>
          <w:rFonts w:ascii="Calibri" w:hAnsi="Calibri"/>
          <w:b w:val="0"/>
          <w:i w:val="0"/>
          <w:color w:val="163A5F"/>
        </w:rPr>
        <w:t xml:space="preserve">•  </w:t>
      </w:r>
      <w:r>
        <w:rPr>
          <w:rFonts w:ascii="Calibri" w:hAnsi="Calibri"/>
          <w:b w:val="0"/>
          <w:i w:val="0"/>
          <w:color w:val="1A1A1A"/>
        </w:rPr>
        <w:t>Lead end-to-end onboarding for new technology stacks, translating business requirements into technical configurations and providing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retainer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engagement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 automation and reputation 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and partnered with Product and Engineering to route structured, high-priority feedback into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campaign execution, performance reporting, and cross-team communication.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a 25% improvement in conversion rates across supported accounts through proactive communication on client goals and initiatives.</w:t>
      </w:r>
    </w:p>
    <w:p>
      <w:pPr>
        <w:spacing w:after="30"/>
        <w:ind w:left="259" w:hanging="259"/>
      </w:pPr>
      <w:r>
        <w:rPr>
          <w:rFonts w:ascii="Calibri" w:hAnsi="Calibri"/>
          <w:b w:val="0"/>
          <w:i w:val="0"/>
          <w:color w:val="163A5F"/>
        </w:rPr>
        <w:t xml:space="preserve">•  </w:t>
      </w:r>
      <w:r>
        <w:rPr>
          <w:rFonts w:ascii="Calibri" w:hAnsi="Calibri"/>
          <w:b w:val="0"/>
          <w:i w:val="0"/>
          <w:color w:val="1A1A1A"/>
        </w:rPr>
        <w:t>Contributed to hiring, onboarding, and training of new hires and developed sales training for tenured account executives while helping take a new vertical from proof of concept to a profitable business line.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&amp; Retention:  </w:t>
      </w:r>
      <w:r>
        <w:rPr>
          <w:rFonts w:ascii="Calibri" w:hAnsi="Calibri"/>
          <w:b w:val="0"/>
          <w:i w:val="0"/>
          <w:color w:val="1A1A1A"/>
        </w:rPr>
        <w:t>Portfolio account management, Trusted advisor relationships, Renewal &amp; churn risk management, Customer health metrics, Adoption &amp; utilization analysis, Expansion &amp; upsell identification, Customer advocacy &amp; references</w:t>
      </w:r>
    </w:p>
    <w:p>
      <w:pPr>
        <w:spacing w:after="30"/>
      </w:pPr>
      <w:r>
        <w:rPr>
          <w:rFonts w:ascii="Calibri" w:hAnsi="Calibri"/>
          <w:b/>
          <w:i w:val="0"/>
          <w:color w:val="1A1A1A"/>
        </w:rPr>
        <w:t xml:space="preserve">Onboarding &amp; Implementation:  </w:t>
      </w:r>
      <w:r>
        <w:rPr>
          <w:rFonts w:ascii="Calibri" w:hAnsi="Calibri"/>
          <w:b w:val="0"/>
          <w:i w:val="0"/>
          <w:color w:val="1A1A1A"/>
        </w:rPr>
        <w:t>End-to-end onboarding, Implementation planning &amp; sequencing, Technical setup &amp; configuration, Time-to-value reduction, Success plans, Escalation management</w:t>
      </w:r>
    </w:p>
    <w:p>
      <w:pPr>
        <w:spacing w:after="30"/>
      </w:pPr>
      <w:r>
        <w:rPr>
          <w:rFonts w:ascii="Calibri" w:hAnsi="Calibri"/>
          <w:b/>
          <w:i w:val="0"/>
          <w:color w:val="1A1A1A"/>
        </w:rPr>
        <w:t xml:space="preserve">Business Reviews &amp; Reporting:  </w:t>
      </w:r>
      <w:r>
        <w:rPr>
          <w:rFonts w:ascii="Calibri" w:hAnsi="Calibri"/>
          <w:b w:val="0"/>
          <w:i w:val="0"/>
          <w:color w:val="1A1A1A"/>
        </w:rPr>
        <w:t>Quarterly business reviews (QBRs), KPI monitoring &amp; reporting, ROI reporting, Executive presentations, Performance dashboards, Data-driven recommendations</w:t>
      </w:r>
    </w:p>
    <w:p>
      <w:pPr>
        <w:spacing w:after="30"/>
      </w:pPr>
      <w:r>
        <w:rPr>
          <w:rFonts w:ascii="Calibri" w:hAnsi="Calibri"/>
          <w:b/>
          <w:i w:val="0"/>
          <w:color w:val="1A1A1A"/>
        </w:rPr>
        <w:t xml:space="preserve">Training &amp; Enablement:  </w:t>
      </w:r>
      <w:r>
        <w:rPr>
          <w:rFonts w:ascii="Calibri" w:hAnsi="Calibri"/>
          <w:b w:val="0"/>
          <w:i w:val="0"/>
          <w:color w:val="1A1A1A"/>
        </w:rPr>
        <w:t>Client &amp; stakeholder training, Hands-on platform training, Automated training sequences, Documentation &amp; best practices, New-hire onboarding &amp; sales training</w:t>
      </w:r>
    </w:p>
    <w:p>
      <w:pPr>
        <w:spacing w:after="30"/>
      </w:pPr>
      <w:r>
        <w:rPr>
          <w:rFonts w:ascii="Calibri" w:hAnsi="Calibri"/>
          <w:b/>
          <w:i w:val="0"/>
          <w:color w:val="1A1A1A"/>
        </w:rPr>
        <w:t xml:space="preserve">CRM &amp; Customer Success Platforms:  </w:t>
      </w:r>
      <w:r>
        <w:rPr>
          <w:rFonts w:ascii="Calibri" w:hAnsi="Calibri"/>
          <w:b w:val="0"/>
          <w:i w:val="0"/>
          <w:color w:val="1A1A1A"/>
        </w:rPr>
        <w:t>Salesforce, HubSpot, GoHighLevel, Zendesk, Notion, Marketing automation, Workflow design, Data hygiene</w:t>
      </w:r>
    </w:p>
    <w:p>
      <w:pPr>
        <w:spacing w:after="30"/>
      </w:pPr>
      <w:r>
        <w:rPr>
          <w:rFonts w:ascii="Calibri" w:hAnsi="Calibri"/>
          <w:b/>
          <w:i w:val="0"/>
          <w:color w:val="1A1A1A"/>
        </w:rPr>
        <w:t xml:space="preserve">Project &amp; Cross-Functional Management:  </w:t>
      </w:r>
      <w:r>
        <w:rPr>
          <w:rFonts w:ascii="Calibri" w:hAnsi="Calibri"/>
          <w:b w:val="0"/>
          <w:i w:val="0"/>
          <w:color w:val="1A1A1A"/>
        </w:rPr>
        <w:t>Multi-stakeholder project management, Competing priorities, Cross-functional collaboration with Sales, Product &amp; Operations, Process improvement, Asana, Jira, Monday.com</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