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Sales &amp; Revenue Operations — Pipeline Analysis, Dashboards, and CRM Integrity</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Sales and revenue operations practitioner with 15+ years inside B2B SaaS and technology sales organizations, carrying quota as well as building the systems behind it. Ranked top three in sales on a team of 8 to 15 reps at Accelo while quota roughly doubled, and built the internal reporting processes at a performance marketing agency that improved reporting accuracy and reduced handoff errors. Builds dashboards on pipeline health and performance, architects CRM systems for data integrity, identifies workflow bottlenecks, and trains reps on the tools and processes they use.</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lead generation, funnel progression, campaign ROI, and pipeline velocity, delivering insights to executive leadership.</w:t>
      </w:r>
    </w:p>
    <w:p>
      <w:pPr>
        <w:spacing w:after="30"/>
        <w:ind w:left="259" w:hanging="259"/>
      </w:pPr>
      <w:r>
        <w:rPr>
          <w:rFonts w:ascii="Calibri" w:hAnsi="Calibri"/>
          <w:b w:val="0"/>
          <w:i w:val="0"/>
          <w:color w:val="163A5F"/>
        </w:rPr>
        <w:t xml:space="preserve">•  </w:t>
      </w:r>
      <w:r>
        <w:rPr>
          <w:rFonts w:ascii="Calibri" w:hAnsi="Calibri"/>
          <w:b w:val="0"/>
          <w:i w:val="0"/>
          <w:color w:val="1A1A1A"/>
        </w:rPr>
        <w:t>Architect and implement CRM systems in GoHighLevel (primary) and HubSpot, covering contact segmentation, lifecycle stages, lead routing, and strict data-hygiene protocols.</w:t>
      </w:r>
    </w:p>
    <w:p>
      <w:pPr>
        <w:spacing w:after="30"/>
        <w:ind w:left="259" w:hanging="259"/>
      </w:pPr>
      <w:r>
        <w:rPr>
          <w:rFonts w:ascii="Calibri" w:hAnsi="Calibri"/>
          <w:b w:val="0"/>
          <w:i w:val="0"/>
          <w:color w:val="163A5F"/>
        </w:rPr>
        <w:t xml:space="preserve">•  </w:t>
      </w:r>
      <w:r>
        <w:rPr>
          <w:rFonts w:ascii="Calibri" w:hAnsi="Calibri"/>
          <w:b w:val="0"/>
          <w:i w:val="0"/>
          <w:color w:val="1A1A1A"/>
        </w:rPr>
        <w:t>Analyze complex marketing and operational datasets, extracting actionable insights and structured recommendations that improve performance.</w:t>
      </w:r>
    </w:p>
    <w:p>
      <w:pPr>
        <w:spacing w:after="30"/>
        <w:ind w:left="259" w:hanging="259"/>
      </w:pPr>
      <w:r>
        <w:rPr>
          <w:rFonts w:ascii="Calibri" w:hAnsi="Calibri"/>
          <w:b w:val="0"/>
          <w:i w:val="0"/>
          <w:color w:val="163A5F"/>
        </w:rPr>
        <w:t xml:space="preserve">•  </w:t>
      </w:r>
      <w:r>
        <w:rPr>
          <w:rFonts w:ascii="Calibri" w:hAnsi="Calibri"/>
          <w:b w:val="0"/>
          <w:i w:val="0"/>
          <w:color w:val="1A1A1A"/>
        </w:rPr>
        <w:t>Break down manual workflows into automated architectures with custom logic, removing bottlenecks in lead capture, qualification, routing, and follow-up.</w:t>
      </w:r>
    </w:p>
    <w:p>
      <w:pPr>
        <w:spacing w:after="30"/>
        <w:ind w:left="259" w:hanging="259"/>
      </w:pPr>
      <w:r>
        <w:rPr>
          <w:rFonts w:ascii="Calibri" w:hAnsi="Calibri"/>
          <w:b w:val="0"/>
          <w:i w:val="0"/>
          <w:color w:val="163A5F"/>
        </w:rPr>
        <w:t xml:space="preserve">•  </w:t>
      </w:r>
      <w:r>
        <w:rPr>
          <w:rFonts w:ascii="Calibri" w:hAnsi="Calibri"/>
          <w:b w:val="0"/>
          <w:i w:val="0"/>
          <w:color w:val="1A1A1A"/>
        </w:rPr>
        <w:t>Align marketing programs to revenue objectives directly with business owners and sales teams, producing consistent messaging and qualified lead flow.</w:t>
      </w:r>
    </w:p>
    <w:p>
      <w:pPr>
        <w:spacing w:after="30"/>
        <w:ind w:left="259" w:hanging="259"/>
      </w:pPr>
      <w:r>
        <w:rPr>
          <w:rFonts w:ascii="Calibri" w:hAnsi="Calibri"/>
          <w:b w:val="0"/>
          <w:i w:val="0"/>
          <w:color w:val="163A5F"/>
        </w:rPr>
        <w:t xml:space="preserve">•  </w:t>
      </w:r>
      <w:r>
        <w:rPr>
          <w:rFonts w:ascii="Calibri" w:hAnsi="Calibri"/>
          <w:b w:val="0"/>
          <w:i w:val="0"/>
          <w:color w:val="1A1A1A"/>
        </w:rPr>
        <w:t>Report performance on a regular cadence with actionable insights and strategic recommendations, backed by rigorous tracking across sales enablement, marketing, and operations.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campaign performance reporting frameworks tracking ROI, CAC, LTV, and conversion KPIs, delivering optimization recommendations and quarterly business reviews.</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accounts across marketing and technology channels, translating performance data into strategic recommendations.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to identify adoption gaps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with deal sizes of roughly $10K–$45K,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Developed scalable communication workflows and automated product-training sequences that reduced onboarding friction.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and refined internal processes that improved reporting accuracy, reduced handoff errors, and strengthened cross-team alignment.</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data and translated results into optimization recommendations across paid media and creative.</w:t>
      </w:r>
    </w:p>
    <w:p>
      <w:pPr>
        <w:spacing w:after="30"/>
        <w:ind w:left="259" w:hanging="259"/>
      </w:pPr>
      <w:r>
        <w:rPr>
          <w:rFonts w:ascii="Calibri" w:hAnsi="Calibri"/>
          <w:b w:val="0"/>
          <w:i w:val="0"/>
          <w:color w:val="163A5F"/>
        </w:rPr>
        <w:t xml:space="preserve">•  </w:t>
      </w:r>
      <w:r>
        <w:rPr>
          <w:rFonts w:ascii="Calibri" w:hAnsi="Calibri"/>
          <w:b w:val="0"/>
          <w:i w:val="0"/>
          <w:color w:val="1A1A1A"/>
        </w:rPr>
        <w:t>Closed six new-client deals averaging ~$22K each, several exceeding $25K, for roughly $130K+ in total bookings.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overseeing budgets, scope, and delivery for a high-value client portfolio.</w:t>
      </w:r>
    </w:p>
    <w:p>
      <w:pPr>
        <w:spacing w:after="30"/>
        <w:ind w:left="259" w:hanging="259"/>
      </w:pPr>
      <w:r>
        <w:rPr>
          <w:rFonts w:ascii="Calibri" w:hAnsi="Calibri"/>
          <w:b w:val="0"/>
          <w:i w:val="0"/>
          <w:color w:val="163A5F"/>
        </w:rPr>
        <w:t xml:space="preserve">•  </w:t>
      </w:r>
      <w:r>
        <w:rPr>
          <w:rFonts w:ascii="Calibri" w:hAnsi="Calibri"/>
          <w:b w:val="0"/>
          <w:i w:val="0"/>
          <w:color w:val="1A1A1A"/>
        </w:rPr>
        <w:t>Contributed to hiring, onboarding, and training of new hires and developed sales training for tenured account executives.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of 8 to 15 reps for effectively the full tenure, holding that ranking while quota roughly doubled.</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complex CRM and project-management software to agencies and professional-services firms, with deep fluency in sales enablement, contact management, and pipeline automation.</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ranking which systems to change and in what order, and handed them to the implementation team to execute against.</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CRM adoption, building scalable operational systems aligned to their growth stage and team structure.</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Sales &amp; Revenue Operations:  </w:t>
      </w:r>
      <w:r>
        <w:rPr>
          <w:rFonts w:ascii="Calibri" w:hAnsi="Calibri"/>
          <w:b w:val="0"/>
          <w:i w:val="0"/>
          <w:color w:val="1A1A1A"/>
        </w:rPr>
        <w:t>Pipeline management &amp; analysis, Sales methodologies, Territory &amp; account planning, Customer segmentation, Comp-plan and quota exposure, Bottleneck identification, Playbook development</w:t>
      </w:r>
    </w:p>
    <w:p>
      <w:pPr>
        <w:spacing w:after="30"/>
      </w:pPr>
      <w:r>
        <w:rPr>
          <w:rFonts w:ascii="Calibri" w:hAnsi="Calibri"/>
          <w:b/>
          <w:i w:val="0"/>
          <w:color w:val="1A1A1A"/>
        </w:rPr>
        <w:t xml:space="preserve">Analytics &amp; Reporting:  </w:t>
      </w:r>
      <w:r>
        <w:rPr>
          <w:rFonts w:ascii="Calibri" w:hAnsi="Calibri"/>
          <w:b w:val="0"/>
          <w:i w:val="0"/>
          <w:color w:val="1A1A1A"/>
        </w:rPr>
        <w:t>Dashboard design, Pipeline health reporting, Operational metrics, Ad hoc trend analysis, ROI, CAC &amp; LTV tracking, GA4, Executive presentations</w:t>
      </w:r>
    </w:p>
    <w:p>
      <w:pPr>
        <w:spacing w:after="30"/>
      </w:pPr>
      <w:r>
        <w:rPr>
          <w:rFonts w:ascii="Calibri" w:hAnsi="Calibri"/>
          <w:b/>
          <w:i w:val="0"/>
          <w:color w:val="1A1A1A"/>
        </w:rPr>
        <w:t xml:space="preserve">CRM Systems &amp; Data Integrity:  </w:t>
      </w:r>
      <w:r>
        <w:rPr>
          <w:rFonts w:ascii="Calibri" w:hAnsi="Calibri"/>
          <w:b w:val="0"/>
          <w:i w:val="0"/>
          <w:color w:val="1A1A1A"/>
        </w:rPr>
        <w:t>Salesforce, HubSpot, GoHighLevel, CRM architecture, Data hygiene &amp; integrity, Lifecycle stages, Lead routing, Workflow configuration &amp; testing</w:t>
      </w:r>
    </w:p>
    <w:p>
      <w:pPr>
        <w:spacing w:after="30"/>
      </w:pPr>
      <w:r>
        <w:rPr>
          <w:rFonts w:ascii="Calibri" w:hAnsi="Calibri"/>
          <w:b/>
          <w:i w:val="0"/>
          <w:color w:val="1A1A1A"/>
        </w:rPr>
        <w:t xml:space="preserve">Process &amp; Enablement:  </w:t>
      </w:r>
      <w:r>
        <w:rPr>
          <w:rFonts w:ascii="Calibri" w:hAnsi="Calibri"/>
          <w:b w:val="0"/>
          <w:i w:val="0"/>
          <w:color w:val="1A1A1A"/>
        </w:rPr>
        <w:t>Process improvement, SOP development, Rep training on tools &amp; process, Cross-functional alignment with Marketing, Finance &amp; Customer Success, Project management, Asana, Jira</w:t>
      </w:r>
    </w:p>
    <w:p>
      <w:pPr>
        <w:spacing w:after="30"/>
      </w:pPr>
      <w:r>
        <w:rPr>
          <w:rFonts w:ascii="Calibri" w:hAnsi="Calibri"/>
          <w:b/>
          <w:i w:val="0"/>
          <w:color w:val="1A1A1A"/>
        </w:rPr>
        <w:t xml:space="preserve">Tools:  </w:t>
      </w:r>
      <w:r>
        <w:rPr>
          <w:rFonts w:ascii="Calibri" w:hAnsi="Calibri"/>
          <w:b w:val="0"/>
          <w:i w:val="0"/>
          <w:color w:val="1A1A1A"/>
        </w:rPr>
        <w:t>Google Sheets &amp; Google Apps, Microsoft Office, Notion, Monday.com, Zendesk, Slack</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