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June 17, 2026</w:t>
      </w:r>
    </w:p>
    <w:p>
      <w:pPr>
        <w:spacing w:after="20"/>
      </w:pPr>
      <w:r>
        <w:rPr>
          <w:rFonts w:ascii="Calibri" w:hAnsi="Calibri"/>
          <w:b/>
          <w:color w:val="1A1A1A"/>
        </w:rPr>
        <w:t>Example Co.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Revenue Operations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writing to apply for the Revenue Operations Manager role. What drew me in is that the position sits exactly where I do my best work — at the seam between marketing, sales, and customer success, where a well-architected CRM turns scattered activity into predictable pipeline. For 15+ years I've built that connective tissue across MarTech, SaaS, and agency environments.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 few things I'd bring on day one: I architect HubSpot and Salesforce systems end to end — segmentation, lifecycle stages, lead routing, and the data-hygiene discipline that keeps reporting trustworthy. I build the dashboards leadership actually uses, tracking funnel progression, campaign ROI, and pipeline velocity. And at Wix I helped drive a 30% increase in traffic and a 25% lift in conversion across the e-commerce segment by aligning operations to the metrics that mattered. Increasingly, I pair that systems work with AI-driven automation for enrichment, scoring, and outreach.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the chance to talk through how I can help make your revenue engine more predictable. Thank you for your consideration.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