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NFP, an Aon company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This role is the work I've done for 15 years: owning a portfolio of clients day to day, being the person they call when something breaks, and keeping the records, follow-up, and reporting tight enough that nothing slips. At Birdeye I managed 15 to 20 reseller partners and retained all but one. At Wix I onboarded 25+ clients a month and held 120% of sales targets and 110% of implementation targets. Today I run client reporting on a regular cadence, and I work comfortably in Excel.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Insurance is also personal for me. A chronic neck condition has had me working directly with private insurers for about 8 years, including fighting for approvals on physical therapy and MRIs. I know what it feels like on the member side when an ID card, claim, or approval goes sideways, and how much a responsive, knowledgeable contact changes that experience.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formal benefits administration experience or an insurance license yet, and I'm ready to get licensed and learn the carrier side quickly.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