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Times New Roman" w:hAnsi="Times New Roman"/>
          <w:b/>
          <w:i w:val="0"/>
          <w:color w:val="1A1A1A"/>
          <w:sz w:val="42"/>
        </w:rPr>
        <w:t>Joshua Aaron Rotenberg</w:t>
      </w:r>
    </w:p>
    <w:p>
      <w:pPr>
        <w:spacing w:after="40"/>
        <w:jc w:val="center"/>
      </w:pPr>
      <w:r>
        <w:rPr>
          <w:rFonts w:ascii="Times New Roman" w:hAnsi="Times New Roman"/>
          <w:b w:val="0"/>
          <w:i w:val="0"/>
          <w:color w:val="555555"/>
          <w:sz w:val="23"/>
        </w:rPr>
        <w:t>Account Management &amp; Client Services Professional</w:t>
      </w:r>
    </w:p>
    <w:p>
      <w:pPr>
        <w:spacing w:after="80"/>
        <w:jc w:val="center"/>
      </w:pPr>
      <w:r>
        <w:rPr>
          <w:rFonts w:ascii="Times New Roman" w:hAnsi="Times New Roman"/>
          <w:b w:val="0"/>
          <w:i w:val="0"/>
          <w:color w:val="555555"/>
          <w:sz w:val="18"/>
        </w:rPr>
        <w:t>Arvada, CO  •  303-726-5037  •  jrotnbrg@gmail.com  •  linkedin.com/in/joshua-rotenberg</w:t>
      </w:r>
    </w:p>
    <w:p>
      <w:pPr>
        <w:spacing w:before="140" w:after="60"/>
        <w:pBdr>
          <w:bottom w:val="single" w:sz="6" w:space="2" w:color="1a1a1a"/>
        </w:pBdr>
      </w:pPr>
      <w:r>
        <w:rPr>
          <w:rFonts w:ascii="Times New Roman" w:hAnsi="Times New Roman"/>
          <w:b/>
          <w:i w:val="0"/>
          <w:caps/>
          <w:color w:val="1A1A1A"/>
          <w:sz w:val="21"/>
        </w:rPr>
        <w:t>SUMMARY</w:t>
      </w:r>
    </w:p>
    <w:p>
      <w:pPr>
        <w:spacing w:after="40"/>
      </w:pPr>
      <w:r>
        <w:rPr>
          <w:rFonts w:ascii="Times New Roman" w:hAnsi="Times New Roman"/>
          <w:b w:val="0"/>
          <w:i w:val="0"/>
          <w:color w:val="1A1A1A"/>
        </w:rPr>
        <w:t>Account management and client services professional with 15+ years managing high-volume, detail-critical caseloads, entering and maintaining accurate records across CRM systems, and communicating clearly with stakeholders under time pressure. Managed 25+ client onboardings per month at peak volume while holding target attainment above 100%. Brings eight years of firsthand experience navigating insurance prior authorization and appeals as a patient managing a chronic condition, and a genuine interest in helping other patients through that same process.</w:t>
      </w:r>
    </w:p>
    <w:p>
      <w:pPr>
        <w:spacing w:before="140" w:after="60"/>
        <w:pBdr>
          <w:bottom w:val="single" w:sz="6" w:space="2" w:color="1a1a1a"/>
        </w:pBdr>
      </w:pPr>
      <w:r>
        <w:rPr>
          <w:rFonts w:ascii="Times New Roman" w:hAnsi="Times New Roman"/>
          <w:b/>
          <w:i w:val="0"/>
          <w:caps/>
          <w:color w:val="1A1A1A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Times New Roman" w:hAnsi="Times New Roman"/>
          <w:b/>
          <w:i w:val="0"/>
          <w:color w:val="1A1A1A"/>
          <w:sz w:val="21"/>
        </w:rPr>
        <w:t>Founder &amp; Strategic / Marketing Operations Lead</w:t>
      </w:r>
      <w:r>
        <w:rPr>
          <w:rFonts w:ascii="Times New Roman" w:hAnsi="Times New Roman"/>
          <w:b w:val="0"/>
          <w:i w:val="0"/>
          <w:color w:val="1A1A1A"/>
          <w:sz w:val="21"/>
        </w:rPr>
        <w:t xml:space="preserve">  |  Solenzo LLC</w:t>
      </w:r>
      <w:r>
        <w:rPr>
          <w:rFonts w:ascii="Times New Roman" w:hAnsi="Times New Roman"/>
          <w:b w:val="0"/>
          <w:i w:val="0"/>
          <w:color w:val="555555"/>
          <w:sz w:val="18"/>
        </w:rPr>
        <w:tab/>
        <w:t>Feb 2024 – Present</w:t>
      </w:r>
    </w:p>
    <w:p>
      <w:pPr>
        <w:spacing w:after="20"/>
      </w:pPr>
      <w:r>
        <w:rPr>
          <w:rFonts w:ascii="Times New Roman" w:hAnsi="Times New Roman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Own the primary strategic relationship for a portfolio of service-based businesses, running discovery and intake to surface goals, needs, and constraints.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Document every client interaction, timeline, and deliverable across multiple systems, keeping records auditable across concurrent engagements.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Architect and implement CRM systems in GoHighLevel and HubSpot — contact segmentation, lifecycle stages, and data-hygiene protocols that keep records accurate and current.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Run day-to-day delivery for B2B clients independently, managing operational needs and driving each to resolution without dropping detail across a full caseload.</w:t>
      </w:r>
    </w:p>
    <w:p>
      <w:pPr>
        <w:tabs>
          <w:tab w:pos="10512" w:val="right"/>
        </w:tabs>
        <w:spacing w:before="80" w:after="20"/>
      </w:pPr>
      <w:r>
        <w:rPr>
          <w:rFonts w:ascii="Times New Roman" w:hAnsi="Times New Roman"/>
          <w:b/>
          <w:i w:val="0"/>
          <w:color w:val="1A1A1A"/>
          <w:sz w:val="21"/>
        </w:rPr>
        <w:t>Channel Partnerships &amp; Customer Onboarding</w:t>
      </w:r>
      <w:r>
        <w:rPr>
          <w:rFonts w:ascii="Times New Roman" w:hAnsi="Times New Roman"/>
          <w:b w:val="0"/>
          <w:i w:val="0"/>
          <w:color w:val="1A1A1A"/>
          <w:sz w:val="21"/>
        </w:rPr>
        <w:t xml:space="preserve">  |  Birdeye</w:t>
      </w:r>
      <w:r>
        <w:rPr>
          <w:rFonts w:ascii="Times New Roman" w:hAnsi="Times New Roman"/>
          <w:b w:val="0"/>
          <w:i w:val="0"/>
          <w:color w:val="555555"/>
          <w:sz w:val="18"/>
        </w:rPr>
        <w:tab/>
        <w:t>Feb 2023 – Apr 2024</w:t>
      </w:r>
    </w:p>
    <w:p>
      <w:pPr>
        <w:spacing w:after="20"/>
      </w:pPr>
      <w:r>
        <w:rPr>
          <w:rFonts w:ascii="Times New Roman" w:hAnsi="Times New Roman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Managed a partner network spanning health, home-services, and retail verticals — including a meaningful share of channel sales to agencies serving healthcare clients — onboarding 15-20 partners with ~94% retention.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Guided customers through complex technical setup and configuration, resolving issues directly with each account.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Analyzed partner utilization and performance metrics to identify gaps and recommend interventions that reduced churn.</w:t>
      </w:r>
    </w:p>
    <w:p>
      <w:pPr>
        <w:tabs>
          <w:tab w:pos="10512" w:val="right"/>
        </w:tabs>
        <w:spacing w:before="80" w:after="20"/>
      </w:pPr>
      <w:r>
        <w:rPr>
          <w:rFonts w:ascii="Times New Roman" w:hAnsi="Times New Roman"/>
          <w:b/>
          <w:i w:val="0"/>
          <w:color w:val="1A1A1A"/>
          <w:sz w:val="21"/>
        </w:rPr>
        <w:t>Account Executive / Sales Operations</w:t>
      </w:r>
      <w:r>
        <w:rPr>
          <w:rFonts w:ascii="Times New Roman" w:hAnsi="Times New Roman"/>
          <w:b w:val="0"/>
          <w:i w:val="0"/>
          <w:color w:val="1A1A1A"/>
          <w:sz w:val="21"/>
        </w:rPr>
        <w:t xml:space="preserve">  |  Fetch &amp; Funnel</w:t>
      </w:r>
      <w:r>
        <w:rPr>
          <w:rFonts w:ascii="Times New Roman" w:hAnsi="Times New Roman"/>
          <w:b w:val="0"/>
          <w:i w:val="0"/>
          <w:color w:val="555555"/>
          <w:sz w:val="18"/>
        </w:rPr>
        <w:tab/>
        <w:t>Sep 2022 – Feb 2023</w:t>
      </w:r>
    </w:p>
    <w:p>
      <w:pPr>
        <w:spacing w:after="20"/>
      </w:pPr>
      <w:r>
        <w:rPr>
          <w:rFonts w:ascii="Times New Roman" w:hAnsi="Times New Roman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Ran client accounts end to end at a performance marketing agency, covering execution, reporting, and cross-team communication.</w:t>
      </w:r>
    </w:p>
    <w:p>
      <w:pPr>
        <w:tabs>
          <w:tab w:pos="10512" w:val="right"/>
        </w:tabs>
        <w:spacing w:before="80" w:after="20"/>
      </w:pPr>
      <w:r>
        <w:rPr>
          <w:rFonts w:ascii="Times New Roman" w:hAnsi="Times New Roman"/>
          <w:b/>
          <w:i w:val="0"/>
          <w:color w:val="1A1A1A"/>
          <w:sz w:val="21"/>
        </w:rPr>
        <w:t>Account Manager, Onboarding Launch Specialist &amp; Team Lead</w:t>
      </w:r>
      <w:r>
        <w:rPr>
          <w:rFonts w:ascii="Times New Roman" w:hAnsi="Times New Roman"/>
          <w:b w:val="0"/>
          <w:i w:val="0"/>
          <w:color w:val="1A1A1A"/>
          <w:sz w:val="21"/>
        </w:rPr>
        <w:t xml:space="preserve">  |  Wix.com</w:t>
      </w:r>
      <w:r>
        <w:rPr>
          <w:rFonts w:ascii="Times New Roman" w:hAnsi="Times New Roman"/>
          <w:b w:val="0"/>
          <w:i w:val="0"/>
          <w:color w:val="555555"/>
          <w:sz w:val="18"/>
        </w:rPr>
        <w:tab/>
        <w:t>Aug 2020 – Aug 2022</w:t>
      </w:r>
    </w:p>
    <w:p>
      <w:pPr>
        <w:spacing w:after="20"/>
      </w:pPr>
      <w:r>
        <w:rPr>
          <w:rFonts w:ascii="Times New Roman" w:hAnsi="Times New Roman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Onboarded and launched 25+ clients per month, holding 120% of sales targets and 110% of implementation targets.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Labeled and defined the CRM fields required for outbound and onboarding workflows, standardizing data capture across the team.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Managed a high-value account portfolio across diverse verticals, contributing to a 30% increase in website traffic and 25% improvement in conversion rates across the e-commerce segment.</w:t>
      </w:r>
    </w:p>
    <w:p>
      <w:pPr>
        <w:spacing w:before="140" w:after="60"/>
        <w:pBdr>
          <w:bottom w:val="single" w:sz="6" w:space="2" w:color="1a1a1a"/>
        </w:pBdr>
      </w:pPr>
      <w:r>
        <w:rPr>
          <w:rFonts w:ascii="Times New Roman" w:hAnsi="Times New Roman"/>
          <w:b/>
          <w:i w:val="0"/>
          <w:caps/>
          <w:color w:val="1A1A1A"/>
          <w:sz w:val="21"/>
        </w:rPr>
        <w:t>CORE COMPETENCIES</w:t>
      </w:r>
    </w:p>
    <w:p>
      <w:pPr>
        <w:spacing w:after="30"/>
      </w:pPr>
      <w:r>
        <w:rPr>
          <w:rFonts w:ascii="Times New Roman" w:hAnsi="Times New Roman"/>
          <w:b/>
          <w:i w:val="0"/>
          <w:color w:val="1A1A1A"/>
        </w:rPr>
        <w:t xml:space="preserve">Client &amp; Case Coordination:  </w:t>
      </w:r>
      <w:r>
        <w:rPr>
          <w:rFonts w:ascii="Times New Roman" w:hAnsi="Times New Roman"/>
          <w:b w:val="0"/>
          <w:i w:val="0"/>
          <w:color w:val="1A1A1A"/>
        </w:rPr>
        <w:t>Account/Case Management, High-Volume Client Intake, Client Discovery, Problem Solving Under Deadline</w:t>
      </w:r>
    </w:p>
    <w:p>
      <w:pPr>
        <w:spacing w:after="30"/>
      </w:pPr>
      <w:r>
        <w:rPr>
          <w:rFonts w:ascii="Times New Roman" w:hAnsi="Times New Roman"/>
          <w:b/>
          <w:i w:val="0"/>
          <w:color w:val="1A1A1A"/>
        </w:rPr>
        <w:t xml:space="preserve">Data &amp; Records Management:  </w:t>
      </w:r>
      <w:r>
        <w:rPr>
          <w:rFonts w:ascii="Times New Roman" w:hAnsi="Times New Roman"/>
          <w:b w:val="0"/>
          <w:i w:val="0"/>
          <w:color w:val="1A1A1A"/>
        </w:rPr>
        <w:t>CRM Data Entry &amp; Accuracy (Salesforce, HubSpot, GoHighLevel), Contact &amp; Record Segmentation, Data Hygiene, Confidential Records Handling</w:t>
      </w:r>
    </w:p>
    <w:p>
      <w:pPr>
        <w:spacing w:after="30"/>
      </w:pPr>
      <w:r>
        <w:rPr>
          <w:rFonts w:ascii="Times New Roman" w:hAnsi="Times New Roman"/>
          <w:b/>
          <w:i w:val="0"/>
          <w:color w:val="1A1A1A"/>
        </w:rPr>
        <w:t xml:space="preserve">Communication:  </w:t>
      </w:r>
      <w:r>
        <w:rPr>
          <w:rFonts w:ascii="Times New Roman" w:hAnsi="Times New Roman"/>
          <w:b w:val="0"/>
          <w:i w:val="0"/>
          <w:color w:val="1A1A1A"/>
        </w:rPr>
        <w:t>Stakeholder Communication, Cross-Functional Coordination, Relationship Management</w:t>
      </w:r>
    </w:p>
    <w:p>
      <w:pPr>
        <w:spacing w:after="30"/>
      </w:pPr>
      <w:r>
        <w:rPr>
          <w:rFonts w:ascii="Times New Roman" w:hAnsi="Times New Roman"/>
          <w:b/>
          <w:i w:val="0"/>
          <w:color w:val="1A1A1A"/>
        </w:rPr>
        <w:t xml:space="preserve">Adaptability:  </w:t>
      </w:r>
      <w:r>
        <w:rPr>
          <w:rFonts w:ascii="Times New Roman" w:hAnsi="Times New Roman"/>
          <w:b w:val="0"/>
          <w:i w:val="0"/>
          <w:color w:val="1A1A1A"/>
        </w:rPr>
        <w:t>Fast-Paced Environments, Self-Directed, Team Collaboration</w:t>
      </w:r>
    </w:p>
    <w:p>
      <w:pPr>
        <w:spacing w:before="140" w:after="60"/>
        <w:pBdr>
          <w:bottom w:val="single" w:sz="6" w:space="2" w:color="1a1a1a"/>
        </w:pBdr>
      </w:pPr>
      <w:r>
        <w:rPr>
          <w:rFonts w:ascii="Times New Roman" w:hAnsi="Times New Roman"/>
          <w:b/>
          <w:i w:val="0"/>
          <w:caps/>
          <w:color w:val="1A1A1A"/>
          <w:sz w:val="21"/>
        </w:rPr>
        <w:t>EDUCATION</w:t>
      </w:r>
    </w:p>
    <w:p>
      <w:pPr>
        <w:spacing w:after="30"/>
      </w:pPr>
      <w:r>
        <w:rPr>
          <w:rFonts w:ascii="Times New Roman" w:hAnsi="Times New Roman"/>
          <w:b w:val="0"/>
          <w:i w:val="0"/>
          <w:color w:val="1A1A1A"/>
        </w:rPr>
        <w:t>B.A. Liberal Arts, Minor in Political Science — Colorado State University, Fort Collins, CO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Times New Roman" w:hAnsi="Times New Roman" w:cs="Times New Roman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