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Automation Manager | Lifecycle Journeys &amp; CRM Systems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leader and CRM architect with 15+ years in marketing and revenue operations, including 5+ years building CRM and marketing-automation systems - segmentation, triggers, personalization, and multi-step journeys - primarily in GoHighLevel, with hands-on HubSpot and Salesforce experience across client-facing roles. Brings a QA mindset and cross-functional fluency (Sales, Product, RevOps) built over a decade in B2B SaaS account and partnership roles before moving into hands-on automation building.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 - contact segmentation, lifecycle stages, triggers,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marketing-automation system - 20+ workflows spanning lead capture/tagging/routing, lead qualification, triggered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segmented, triggered outreach campaigns (website-visibility, missed-calls, and low-reviews) plus an automated audit workflow that enrolled 180+ contacts based on scored engagement signals.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automation outputs and continuously optimize conversion rates, catching and correcting broken logic before it reaches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campaign and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business-owner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automation logic - acting as the bridge between business intent and reliable system behavior.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automated, rule-based logic that scores engagement signals and triggers the right next step without manual intervention.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 using Salesforce,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on Salesforce-backed workflows,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Automation:  </w:t>
      </w:r>
      <w:r>
        <w:rPr>
          <w:rFonts w:ascii="Calibri" w:hAnsi="Calibri"/>
          <w:b w:val="0"/>
          <w:i w:val="0"/>
          <w:color w:val="1A1A1A"/>
        </w:rPr>
        <w:t>Segmentation &amp; Triggered Journeys, Lifecycle Campaign Design, Personalization, QA &amp; Delivery Accuracy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Platforms:  </w:t>
      </w:r>
      <w:r>
        <w:rPr>
          <w:rFonts w:ascii="Calibri" w:hAnsi="Calibri"/>
          <w:b w:val="0"/>
          <w:i w:val="0"/>
          <w:color w:val="1A1A1A"/>
        </w:rPr>
        <w:t>GoHighLevel, HubSpot, Salesforce, CRM-MAP Integration Concepts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Collaboration:  </w:t>
      </w:r>
      <w:r>
        <w:rPr>
          <w:rFonts w:ascii="Calibri" w:hAnsi="Calibri"/>
          <w:b w:val="0"/>
          <w:i w:val="0"/>
          <w:color w:val="1A1A1A"/>
        </w:rPr>
        <w:t>Sales &amp; RevOps Alignment, Product Feedback Loops, Stakeholder Reporting,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Optimization:  </w:t>
      </w:r>
      <w:r>
        <w:rPr>
          <w:rFonts w:ascii="Calibri" w:hAnsi="Calibri"/>
          <w:b w:val="0"/>
          <w:i w:val="0"/>
          <w:color w:val="1A1A1A"/>
        </w:rPr>
        <w:t>Campaign ROI Tracking, Funnel &amp; Pipeline Reporting, Experimentation, Data Hygiene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