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Digital Marketing Manager · Multi-Channel Strategy, SEO &amp; Analytics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 or Relocate)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operations leader with 15+ years owning digital marketing end to end, paid search, SEO, email and lifecycle marketing, website and CMS management, and analytics-driven reporting, for lean, fast-moving organizations. Founder of Solenzo, where I run every digital channel for a portfolio of service-based clients and direct outside vendors and agencies rather than only executing. Comfortable as the single owner of a brand's full digital presence, from campaign strategy through KPI reporting.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end-to-end digital marketing, paid search, SEO, email and lifecycle marketing, and analytics, for a portfolio of service-based business clients, running each channel from strategy through execution.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Optimize client Google Ads (paid search) accounts, cutting spam and low-quality leads and improving click-through quality, then diagnosing on-site conversion issues as the next lever.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Conduct technical SEO audits, keyword and competitor research, and implement fixes directly inside client CMS platforms, keeping website content aligned with brand positioning and search performance.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CRM and marketing-automation systems in GoHighLevel and HubSpot, building 20+ lifecycle workflows spanning lead capture, appointment booking and reminders, nurture, and reactivation.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 acquisition, engagement, and conversion in GA4 and CRM analytics, building ROI and KPI reporting shared directly with business owners to guide ongoing optimization.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direct-response copy, landing pages, and campaign content that promotes offerings and drives engagement, plus recurring thought-leadership and newsletter content.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–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digital marketing strategies across paid media, inbound, and content, coordinating execution across internal teams, outside contributors, and agencies.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campaign performance reporting frameworks tracking ROI, CAC, LTV, and conversion KPIs, translating results into optimization recommendations for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landing pages, email sequences, and campaign copy that improved engagement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keyword research and search-term analysis to shape campaign targeting and content direction.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15–20 partner accounts, driving adoption of marketing-automation and reputation-management software and retaining all but one (~94%).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automated communication and training workflows that reduced onboarding friction across a distributed partner network.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cross-functionally with Product and Marketing to keep messaging and rollout consistent across partners.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paid media and creative performance and translated results into optimization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averaging ~$22K each (~$130K+ in total bookings) over tenure.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 &amp; Onboarding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content, and SEO best practices,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 team of onboarding specialists, overseeing budgets, scope, and delivery across a high-value, multi-vertical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Served as primary strategic contact, proactively communicating with clients on goals and initiatives to accelerate time-to-value.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–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 and scalable operational systems, translating business requirements into technical configuration and guiding workflow design during onboarding.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sustained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 and handed them to the implementation team to execute against.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Digital Marketing &amp; Channels:  </w:t>
      </w:r>
      <w:r>
        <w:rPr>
          <w:rFonts w:ascii="Calibri" w:hAnsi="Calibri"/>
          <w:b w:val="0"/>
          <w:i w:val="0"/>
          <w:color w:val="1A1A1A"/>
        </w:rPr>
        <w:t>Digital Marketing Strategy, Paid Search (Google Ads), Paid Media, SEO (Technical Audits, Keyword Research), Email &amp; Lifecycle Marketing, Landing Pages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Website &amp; Content:  </w:t>
      </w:r>
      <w:r>
        <w:rPr>
          <w:rFonts w:ascii="Calibri" w:hAnsi="Calibri"/>
          <w:b w:val="0"/>
          <w:i w:val="0"/>
          <w:color w:val="1A1A1A"/>
        </w:rPr>
        <w:t>CMS Management, On-Page SEO, Direct-Response Copywriting, Brand Voice, Thought Leadership Content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Reporting:  </w:t>
      </w:r>
      <w:r>
        <w:rPr>
          <w:rFonts w:ascii="Calibri" w:hAnsi="Calibri"/>
          <w:b w:val="0"/>
          <w:i w:val="0"/>
          <w:color w:val="1A1A1A"/>
        </w:rPr>
        <w:t>GA4, KPI / ROI Reporting, Campaign Attribution, A/B Testing, Conversion Rate Optimization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Operations &amp; Coordination:  </w:t>
      </w:r>
      <w:r>
        <w:rPr>
          <w:rFonts w:ascii="Calibri" w:hAnsi="Calibri"/>
          <w:b w:val="0"/>
          <w:i w:val="0"/>
          <w:color w:val="1A1A1A"/>
        </w:rPr>
        <w:t>Vendor &amp; Agency Direction, Cross-Functional Coordination, Process Design, Data Hygiene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Automation:  </w:t>
      </w:r>
      <w:r>
        <w:rPr>
          <w:rFonts w:ascii="Calibri" w:hAnsi="Calibri"/>
          <w:b w:val="0"/>
          <w:i w:val="0"/>
          <w:color w:val="1A1A1A"/>
        </w:rPr>
        <w:t>GoHighLevel, HubSpot, Salesforce, Marketing Automation Workflows, Segmentation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 / Coursera (Sept 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