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23, 2026</w:t>
      </w:r>
    </w:p>
    <w:p>
      <w:pPr>
        <w:spacing w:after="20"/>
      </w:pPr>
      <w:r>
        <w:rPr>
          <w:rFonts w:ascii="Calibri" w:hAnsi="Calibri"/>
          <w:b/>
          <w:color w:val="1A1A1A"/>
        </w:rPr>
        <w:t>Dropbox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Account-Based Marketing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Senior Account-Based Marketing Manager role because it asks for something I already do, just at a different scale: turning account and buyer signals into personalized, multi-channel campaigns, and using AI responsibly to get there faster without losing accuracy.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the company I founded, I built a system that scores each prospect account's digital footprint and buyer signals, then triggers personalized outreach across email, landing pages, and forms based on what it finds - the same core logic ABM runs on, applied at SMB scale. I built the automation infrastructure underneath it myself: 20+ GoHighLevel workflows spanning capture, qualification, booking, and nurture, plus an audit workflow that scored and personalized outreach to 180+ contacts. Before I built marketing systems, I spent a decade as the Sales-side stakeholder these programs are built for - as an Account Executive at Accelo, Fivestars, and elsewhere - so I understand firsthand what makes a marketing-sourced account play worth a rep's time.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know the leap from agency and small-business scale to Dropbox's enterprise motion is real, and I'd welcome the chance to talk through how the account-signal-scoring approach I've built translates to buying groups and higher-value accounts. Thank you for considering my application.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