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Client Account Manager | Cross-Functional Relationships &amp; Executive Reporting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Client Account Manager with 15+ years as the day-to-day contact and strategic advocate for a portfolio of B2B and B2C clients across MarTech, SaaS, and agency environments. Proven track record serving as the connective tissue between clients and internal teams - Product, Engineering, Operations, Sales - tracking commitments, resolving issues before they escalate, and delivering executive-ready reporting on account health and performance. Comfortable managing multiple concurrent client relationships with high accountability and follow-through.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serving as the primary strategic contact and driving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 while maintaining consistent, proactive client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specialists,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consultations, translating client goals into concrete recommendations and coordinating execution across internal teams.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~$10K-$45K), retaining all but one (~94% retention) during tenure through proactive, value-driven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Served as the connective tissue between partners and Product/Engineering, collaborating to share structured, high-priority feedback that informed the roadmap.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 health metrics, tracking commitments and following through to resolution.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 for client leadership.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and delivered executive-ready QBRs tracking ROI, CAC, LTV, and conversion KPIs.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trusted-advisor relationships with C-Suite executives at agencies and professional-services firms, guiding CRM and project-management software adoption.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coordinated with the implementation team on delivery.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holding that ranking while quota roughly doubled.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service-based business clients, running discovery and onboarding to surface goals, objectives, and challenges.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deliverable, keeping project records auditable across concurrent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strategic recommendations, backed by rigorous tracking across operations.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strategic opportunities to expand retainer scope, recommending complementary services aligned with client objectives.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 and strengthened cross-team alignment.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for client stakeholders.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Account Management:  </w:t>
      </w:r>
      <w:r>
        <w:rPr>
          <w:rFonts w:ascii="Calibri" w:hAnsi="Calibri"/>
          <w:b w:val="0"/>
          <w:i w:val="0"/>
          <w:color w:val="1A1A1A"/>
        </w:rPr>
        <w:t>Portfolio Ownership, Client Relationship Management, Proactive Communication, Issue Resolution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Coordination:  </w:t>
      </w:r>
      <w:r>
        <w:rPr>
          <w:rFonts w:ascii="Calibri" w:hAnsi="Calibri"/>
          <w:b w:val="0"/>
          <w:i w:val="0"/>
          <w:color w:val="1A1A1A"/>
        </w:rPr>
        <w:t>Operations &amp; Implementation Liaison, Product/Engineering Feedback Loops, Commitment Tracking, Stakeholder Alignment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Reporting &amp; Executive Communication:  </w:t>
      </w:r>
      <w:r>
        <w:rPr>
          <w:rFonts w:ascii="Calibri" w:hAnsi="Calibri"/>
          <w:b w:val="0"/>
          <w:i w:val="0"/>
          <w:color w:val="1A1A1A"/>
        </w:rPr>
        <w:t>QBRs, Performance Dashboards, Account Health Reporting, Client Presentations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Tools:  </w:t>
      </w:r>
      <w:r>
        <w:rPr>
          <w:rFonts w:ascii="Calibri" w:hAnsi="Calibri"/>
          <w:b w:val="0"/>
          <w:i w:val="0"/>
          <w:color w:val="1A1A1A"/>
        </w:rPr>
        <w:t>Salesforce, HubSpot, GA4, Google Workspace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