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Performance Marketing Manager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Performance marketing professional with 15+ years driving campaign strategy, budget accountability, and structured testing across agency and SaaS environments. Built ROI/CAC/LTV reporting frameworks and ran regular experimentation and optimization cycles on paid search and CRM-driven channels, diagnosing performance shifts and translating findings into clear, actionable recommendations for stakeholders and leadership.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 to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 as strategic lead, coordinating execution and analysis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Translated performance data into strategic recommendations for multi-stakeholder accounts across marketing and technology channels.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loops and evaluation frameworks to monitor campaign outputs, separating signal from noise and continuously optimizing conversion rates.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account, cutting spam and low-quality leads and improving click-through quality, then diagnosed on-site CRO as the remaining conversion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business owners on a regular cadence.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competitor research and keyword-gap analyses, translating findings into campaign and content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at a performance marketing agency, translating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reporting processes that improved accuracy and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across a reseller portfolio to identify the true drivers behind adoption gaps and recommend interventions.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(roughly 94% retention) during tenure.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Consistently performed above commission floor into accelerator tiers, averaging ~$17,750/month in implementation bookings (~$213K annualized) plus new recurring revenue.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 over the period.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consumer loyalty and marketing automation platform targeting SMBs, from prospecting through customer acquisition.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Performance Marketing:  </w:t>
      </w:r>
      <w:r>
        <w:rPr>
          <w:rFonts w:ascii="Calibri" w:hAnsi="Calibri"/>
          <w:b w:val="0"/>
          <w:i w:val="0"/>
          <w:color w:val="1A1A1A"/>
        </w:rPr>
        <w:t>Campaign Strategy, A/B Testing &amp; Experimentation, Paid Search (Google Ads), Budget &amp; Scope Management, ROI/CAC/LTV Analysis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Analytics:  </w:t>
      </w:r>
      <w:r>
        <w:rPr>
          <w:rFonts w:ascii="Calibri" w:hAnsi="Calibri"/>
          <w:b w:val="0"/>
          <w:i w:val="0"/>
          <w:color w:val="1A1A1A"/>
        </w:rPr>
        <w:t>GA4, Campaign Attribution, Competitive Research, Dashboard Reporting, Data-Driven Recommendations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Communication:  </w:t>
      </w:r>
      <w:r>
        <w:rPr>
          <w:rFonts w:ascii="Calibri" w:hAnsi="Calibri"/>
          <w:b w:val="0"/>
          <w:i w:val="0"/>
          <w:color w:val="1A1A1A"/>
        </w:rPr>
        <w:t>Executive Presentations, QBRs, Cross-Team Coordination, Stakeholder Translation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Google Ads, GA4, Google Search Console, Ahrefs, Semrush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