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Partnership &amp; Account Management — Agency &amp; Media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account and partnership manager with 15+ years across agency, MarTech, and SaaS environments, serving as the day-to-day strategic contact who drives client satisfaction, retention, and growth. Agency experience spanning paid media, campaign execution, and budget/scope management, paired with a track record of building trusted relationships with client-side decision-makers and identifying cross-sell and upsell opportunities that grow account revenue.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the primary strategic point of contact for a portfolio of service-based clients, leading discovery and onboarding to build a deep understanding of each client's business, goals,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client Google Ads (paid search) accounts — cutting spam and low-quality leads while improving click-through quality — and diagnosed on-site CRO as the remaining conversion bottleneck, demonstrating full-funnel campaign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pursue opportunities to expand retainer scope, recommending and scoping complementary services aligned with client objectives to drive organic account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Provide regular performance reporting, actionable insights, and strategic recommendations, translating campaign and operational data into clear client-facing updates.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across paid and organic channels that drive engagement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paid media, inbound, and content as the strategic client lead, coordinating campaign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for client decision-makers.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world-class delivery quality across implementations, addressing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with deal sizes of ~$10K–$45K, retaining all but one (~94% retention) across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strategy, customer health metrics, and account growth, helping partners communicate and realize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 and protected revenue.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for a performance marketing agency, focused on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the primary strategic contact ensuring on-time delivery and proactively communicating with clients on goals and initiatives to accelerate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building relationships with C-Suite decision-makers as a trusted advisor.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services and guided commercial agreements, onboarding, and workflow design — averaging ~$17,750/month in implementation bookings (~$213K annualized), consistently above quota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Engaged with leadership on issue escalation, strategic guidance, and account-level risk mitigation.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Partnership:  </w:t>
      </w:r>
      <w:r>
        <w:rPr>
          <w:rFonts w:ascii="Calibri" w:hAnsi="Calibri"/>
          <w:b w:val="0"/>
          <w:i w:val="0"/>
          <w:color w:val="1A1A1A"/>
        </w:rPr>
        <w:t>Account Management, Client Retention &amp; Growth, Stakeholder Management, Cross-sell / Upsell, Strategic Advisory, Client Satisfaction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Media &amp; Campaigns:  </w:t>
      </w:r>
      <w:r>
        <w:rPr>
          <w:rFonts w:ascii="Calibri" w:hAnsi="Calibri"/>
          <w:b w:val="0"/>
          <w:i w:val="0"/>
          <w:color w:val="1A1A1A"/>
        </w:rPr>
        <w:t>Paid Search, Paid Social, Campaign Execution, Budget Management, Performance Analysis, Full-funnel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Commercial &amp; Ops:  </w:t>
      </w:r>
      <w:r>
        <w:rPr>
          <w:rFonts w:ascii="Calibri" w:hAnsi="Calibri"/>
          <w:b w:val="0"/>
          <w:i w:val="0"/>
          <w:color w:val="1A1A1A"/>
        </w:rPr>
        <w:t>Scope Management, SOWs &amp; Amendments, Contract Support, Revenue Forecasting &amp; Reconciliation, QBRs, Cross-functional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Campaign Attribution, ROI Dashboards, KPI Tracking, CAC / LTV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Google Ads, HubSpot, GoHighLevel, Salesforce, Notion, Asana, Slack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