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9, 2026</w:t>
      </w:r>
    </w:p>
    <w:p>
      <w:pPr>
        <w:spacing w:after="20"/>
      </w:pPr>
      <w:r>
        <w:rPr>
          <w:rFonts w:ascii="Calibri" w:hAnsi="Calibri"/>
          <w:b/>
          <w:color w:val="1A1A1A"/>
        </w:rPr>
        <w:t>SanterMedia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Client Success Coach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You were clear this isn't a customer service role, it's accountability and results. That's the job I already do. At Solenzo, I built the lead capture, appointment-booking, and no-show-recovery systems that a service-based business owner's revenue actually depends on, then sat with those owners on the numbers, not to report them, but to push on what wasn't working and why.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accountability side is proven, not aspirational. At Birdeye, I managed 15-20 reseller partners, diagnosed adoption gaps from real utilization data rather than guesswork, and held roughly 94% retention by having the direct conversations that fixed the actual problem instead of the symptom. At Accelo, I ranked top three on a team of 8 to 15 reps while quota roughly doubled, and escalated account risk early rather than let it surface as a surprise. I haven't worked in the fitness vertical specifically, but the function, diagnosing a local business owner's bottleneck and holding them to the fix, is exactly what I've been doing.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chance to bring that to gym owners specifically. If a track record of real accountability and real systems-building is what you're looking for, let's talk.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