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Trainer · Prompt Design &amp; Model Evaluation · Business &amp; Marketing SME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AI systems builder and subject-matter expert who works hands-on with LLMs every day — designing prompts, wiring agent workflows, and building the evaluation loops that catch where models fail. 15+ years across marketing, sales, and business operations gives me deep, real-world domain expertise to train and evaluate models on, while a decade of professional writing keeps my outputs clear, precise, and well-structured. My core skill is translating messy, ambiguous intent into exact instructions and reliable model behavior — the same judgment that produces high-quality AI training work.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AI Systems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deploy autonomous, AI-driven systems built on LLMs — authoring prompts and agent instructions, then testing, grading, and iterating on their outputs until they are reliable enough to run in production.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self-improving loops and evaluation frameworks that monitor LLM and agent outputs, flag failures and hallucinations, and continuously improve response quality — the same evaluate-and-correct judgment at the core of AI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vague, generalized ideas and feedback into precise, structured prompts and instructions — the bridge between ambiguous human intent and reliable model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complex, high-volume workflows into agent architectures with custom logic that scores inputs and generates hyper-personalized, context-aware outputs at scale (including an audit workflow scoring 180+ businesses).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thought-leadership content, educational guides, and direct-response copy, bringing professional-grade clarity, structure, and factual precision to everything I produce.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 complex operational and marketing datasets, extracting structured, well-reasoned recommendations and communicating them clearly to non-technical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written assets — landing pages, complex email sequences, and conversion copy — under rigorous quality, accuracy, and brand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performance data into clear, structured strategic recommendations across multi-stakeholder marketing and technology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reporting frameworks tracking ROI, CAC, LTV, and conversion KPIs, applying careful attention to detail to every metric delivered.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technical advisor to a high-volume partner network, translating complex product capability into clear, unambiguous guidance and instructions.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Authored scalable communication workflows and automated product-training sequences that required precise, well-structured instructional writing.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 (deal sizes ~$10K–$45K),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structured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 for a performance marketing agency.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Onboarding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a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sales-training materials and led onboarding consultations, work that demanded clear, accurate instructional writing for varied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Helped build a brand-new Wix vertical from proof-of-concept to a profitable business line, contributing to hiring, onboarding, and training.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 — deep subject-matter expertise in business systems, sales enablement, and operational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advising C-suite executives on scalable operational system design.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sales for a loyalty and marketing-automation platform targeting SMBs, developing consultative instincts around customer needs and technology adoption.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–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compliance, customer-management, and reporting systems from scratch in a highly regulated startup environment, scaling the business to profitability.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Training &amp; Evaluation:  </w:t>
      </w:r>
      <w:r>
        <w:rPr>
          <w:rFonts w:ascii="Calibri" w:hAnsi="Calibri"/>
          <w:b w:val="0"/>
          <w:i w:val="0"/>
          <w:color w:val="1A1A1A"/>
        </w:rPr>
        <w:t>Prompt Design, LLM Output Evaluation, Response-Quality Grading &amp; Ranking, Instruction Following, Evaluation Frameworks &amp; Monitoring, Failure &amp; Edge-Case Analysis, Attention to Detail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LLM &amp; Agentic Systems:  </w:t>
      </w:r>
      <w:r>
        <w:rPr>
          <w:rFonts w:ascii="Calibri" w:hAnsi="Calibri"/>
          <w:b w:val="0"/>
          <w:i w:val="0"/>
          <w:color w:val="1A1A1A"/>
        </w:rPr>
        <w:t>Agentic AI, Multi-Agent Orchestration, LLM Workflows, ChatGPT, Claude, Requirements-to-Prompt Translation,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Writing &amp; Communication:  </w:t>
      </w:r>
      <w:r>
        <w:rPr>
          <w:rFonts w:ascii="Calibri" w:hAnsi="Calibri"/>
          <w:b w:val="0"/>
          <w:i w:val="0"/>
          <w:color w:val="1A1A1A"/>
        </w:rPr>
        <w:t>Technical &amp; Instructional Writing, Direct-Response Copy, Technical Translation, Editorial Judgment, Clear Structured Reasoning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Subject-Matter Domains:  </w:t>
      </w:r>
      <w:r>
        <w:rPr>
          <w:rFonts w:ascii="Calibri" w:hAnsi="Calibri"/>
          <w:b w:val="0"/>
          <w:i w:val="0"/>
          <w:color w:val="1A1A1A"/>
        </w:rPr>
        <w:t>Marketing Operations, CRM &amp; Sales Systems, SaaS / B2B, Business Operations, Analytics &amp;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Analysis &amp; Judgment:  </w:t>
      </w:r>
      <w:r>
        <w:rPr>
          <w:rFonts w:ascii="Calibri" w:hAnsi="Calibri"/>
          <w:b w:val="0"/>
          <w:i w:val="0"/>
          <w:color w:val="1A1A1A"/>
        </w:rPr>
        <w:t>Data Analysis, Structured Recommendations, Quality Assurance, Systems Thinking, Process Documentation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