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Customer Success Manager | Executive Relationships, Retention &amp; Healthcare-Adjacent B2B SaaS</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Customer success and account management professional with 15+ years in B2B SaaS, building trusted executive relationships, driving product adoption, and managing retention across a book of accounts. Channel sales experience at Birdeye included agencies serving healthcare clients, genuine B2B exposure to how healthcare organizations buy and adopt technology. Owns the full customer lifecycle, onboarding, adoption, business reviews, and renewal, backed by 94% partner retention at Birdeye and 120% of sales targets at Wix.</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Own the primary strategic relationship for a portfolio of service-based businesses, running discovery and onboarding to surface client goals, objectives, and market challenges.</w:t>
      </w:r>
    </w:p>
    <w:p>
      <w:pPr>
        <w:spacing w:after="30"/>
        <w:ind w:left="259" w:hanging="259"/>
      </w:pPr>
      <w:r>
        <w:rPr>
          <w:rFonts w:ascii="Calibri" w:hAnsi="Calibri"/>
          <w:b w:val="0"/>
          <w:i w:val="0"/>
          <w:color w:val="163A5F"/>
        </w:rPr>
        <w:t xml:space="preserve">•  </w:t>
      </w:r>
      <w:r>
        <w:rPr>
          <w:rFonts w:ascii="Calibri" w:hAnsi="Calibri"/>
          <w:b w:val="0"/>
          <w:i w:val="0"/>
          <w:color w:val="1A1A1A"/>
        </w:rPr>
        <w:t>Identify strategic opportunities to expand retainer scope, recommending and scoping complementary services aligned with client objectives.</w:t>
      </w:r>
    </w:p>
    <w:p>
      <w:pPr>
        <w:spacing w:after="30"/>
        <w:ind w:left="259" w:hanging="259"/>
      </w:pPr>
      <w:r>
        <w:rPr>
          <w:rFonts w:ascii="Calibri" w:hAnsi="Calibri"/>
          <w:b w:val="0"/>
          <w:i w:val="0"/>
          <w:color w:val="163A5F"/>
        </w:rPr>
        <w:t xml:space="preserve">•  </w:t>
      </w:r>
      <w:r>
        <w:rPr>
          <w:rFonts w:ascii="Calibri" w:hAnsi="Calibri"/>
          <w:b w:val="0"/>
          <w:i w:val="0"/>
          <w:color w:val="1A1A1A"/>
        </w:rPr>
        <w:t>Report performance on a regular cadence with actionable insights and strategic recommendations, backed by rigorous tracking across sales enablement, marketing, and operations.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multi-stakeholder accounts across marketing and technology channels, translating performance data into strategic recommendations.</w:t>
      </w:r>
    </w:p>
    <w:p>
      <w:pPr>
        <w:spacing w:after="30"/>
        <w:ind w:left="259" w:hanging="259"/>
      </w:pPr>
      <w:r>
        <w:rPr>
          <w:rFonts w:ascii="Calibri" w:hAnsi="Calibri"/>
          <w:b w:val="0"/>
          <w:i w:val="0"/>
          <w:color w:val="163A5F"/>
        </w:rPr>
        <w:t xml:space="preserve">•  </w:t>
      </w:r>
      <w:r>
        <w:rPr>
          <w:rFonts w:ascii="Calibri" w:hAnsi="Calibri"/>
          <w:b w:val="0"/>
          <w:i w:val="0"/>
          <w:color w:val="1A1A1A"/>
        </w:rPr>
        <w:t>Held delivery quality consistent across implementations, resolving client feedback promptly to protect satisfaction and retention.</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(deal sizes ~$10K-$45K, spanning health, home services, and retail verticals), retaining all but one (~94% retention) during tenure.</w:t>
      </w:r>
    </w:p>
    <w:p>
      <w:pPr>
        <w:spacing w:after="30"/>
        <w:ind w:left="259" w:hanging="259"/>
      </w:pPr>
      <w:r>
        <w:rPr>
          <w:rFonts w:ascii="Calibri" w:hAnsi="Calibri"/>
          <w:b w:val="0"/>
          <w:i w:val="0"/>
          <w:color w:val="163A5F"/>
        </w:rPr>
        <w:t xml:space="preserve">•  </w:t>
      </w:r>
      <w:r>
        <w:rPr>
          <w:rFonts w:ascii="Calibri" w:hAnsi="Calibri"/>
          <w:b w:val="0"/>
          <w:i w:val="0"/>
          <w:color w:val="1A1A1A"/>
        </w:rPr>
        <w:t>Sold and onboarded partners including agencies focused on healthcare clients, applying B2B channel-sales experience to the healthcare vertical alongside home services and retail.</w:t>
      </w:r>
    </w:p>
    <w:p>
      <w:pPr>
        <w:spacing w:after="30"/>
        <w:ind w:left="259" w:hanging="259"/>
      </w:pPr>
      <w:r>
        <w:rPr>
          <w:rFonts w:ascii="Calibri" w:hAnsi="Calibri"/>
          <w:b w:val="0"/>
          <w:i w:val="0"/>
          <w:color w:val="163A5F"/>
        </w:rPr>
        <w:t xml:space="preserve">•  </w:t>
      </w:r>
      <w:r>
        <w:rPr>
          <w:rFonts w:ascii="Calibri" w:hAnsi="Calibri"/>
          <w:b w:val="0"/>
          <w:i w:val="0"/>
          <w:color w:val="1A1A1A"/>
        </w:rPr>
        <w:t>Advised partners on retention strategy and customer health metrics, equipping them to communicate product value to their own end customers.</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metrics to identify adoption gaps and recommend interventions that reduced churn.</w:t>
      </w:r>
    </w:p>
    <w:p>
      <w:pPr>
        <w:spacing w:after="30"/>
        <w:ind w:left="259" w:hanging="259"/>
      </w:pPr>
      <w:r>
        <w:rPr>
          <w:rFonts w:ascii="Calibri" w:hAnsi="Calibri"/>
          <w:b w:val="0"/>
          <w:i w:val="0"/>
          <w:color w:val="163A5F"/>
        </w:rPr>
        <w:t xml:space="preserve">•  </w:t>
      </w:r>
      <w:r>
        <w:rPr>
          <w:rFonts w:ascii="Calibri" w:hAnsi="Calibri"/>
          <w:b w:val="0"/>
          <w:i w:val="0"/>
          <w:color w:val="1A1A1A"/>
        </w:rPr>
        <w:t>Collaborated with Product and Engineering to share structured, high-priority customer feedback informing the roadmap.</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Analyzed campaign performance data and translated results into optimization recommendations across paid media and creative.</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clients per month, holding 120% of sales targets and 110% of implementation targets.</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across diverse verticals,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Led onboarding and launch operations as team lead and primary strategic contact, delivering launches on time and accelerating time-to-value.</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Guided client onboarding, workflow design, and API integrations, building relationships with C-Suite executives as a trusted advisor on operational system design.</w:t>
      </w:r>
    </w:p>
    <w:p>
      <w:pPr>
        <w:spacing w:after="30"/>
        <w:ind w:left="259" w:hanging="259"/>
      </w:pPr>
      <w:r>
        <w:rPr>
          <w:rFonts w:ascii="Calibri" w:hAnsi="Calibri"/>
          <w:b w:val="0"/>
          <w:i w:val="0"/>
          <w:color w:val="163A5F"/>
        </w:rPr>
        <w:t xml:space="preserve">•  </w:t>
      </w:r>
      <w:r>
        <w:rPr>
          <w:rFonts w:ascii="Calibri" w:hAnsi="Calibri"/>
          <w:b w:val="0"/>
          <w:i w:val="0"/>
          <w:color w:val="1A1A1A"/>
        </w:rPr>
        <w:t>Escalated issues to leadership early and mitigated account-level risk with direct strategic guidance.</w:t>
      </w:r>
    </w:p>
    <w:p>
      <w:pPr>
        <w:spacing w:after="30"/>
        <w:ind w:left="259" w:hanging="259"/>
      </w:pPr>
      <w:r>
        <w:rPr>
          <w:rFonts w:ascii="Calibri" w:hAnsi="Calibri"/>
          <w:b w:val="0"/>
          <w:i w:val="0"/>
          <w:color w:val="163A5F"/>
        </w:rPr>
        <w:t xml:space="preserve">•  </w:t>
      </w:r>
      <w:r>
        <w:rPr>
          <w:rFonts w:ascii="Calibri" w:hAnsi="Calibri"/>
          <w:b w:val="0"/>
          <w:i w:val="0"/>
          <w:color w:val="1A1A1A"/>
        </w:rPr>
        <w:t>Advised clients on CRM adoption, building scalable operational systems aligned to their growth stage and team structure.</w:t>
      </w:r>
    </w:p>
    <w:p>
      <w:pPr>
        <w:spacing w:after="30"/>
        <w:ind w:left="259" w:hanging="259"/>
      </w:pPr>
      <w:r>
        <w:rPr>
          <w:rFonts w:ascii="Calibri" w:hAnsi="Calibri"/>
          <w:b w:val="0"/>
          <w:i w:val="0"/>
          <w:color w:val="163A5F"/>
        </w:rPr>
        <w:t xml:space="preserve">•  </w:t>
      </w:r>
      <w:r>
        <w:rPr>
          <w:rFonts w:ascii="Calibri" w:hAnsi="Calibri"/>
          <w:b w:val="0"/>
          <w:i w:val="0"/>
          <w:color w:val="1A1A1A"/>
        </w:rPr>
        <w:t>Consistently performed above commission floor into accelerator (doubling) tiers, averaging ~$17,750/month in implementation and services bookings (~$213K annualized) plus new recurring revenue.</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Customer Success &amp; Account Management:  </w:t>
      </w:r>
      <w:r>
        <w:rPr>
          <w:rFonts w:ascii="Calibri" w:hAnsi="Calibri"/>
          <w:b w:val="0"/>
          <w:i w:val="0"/>
          <w:color w:val="1A1A1A"/>
        </w:rPr>
        <w:t>Executive Relationship Building (C-Suite), Business Reviews &amp; Performance Reporting, Customer Health Metrics &amp; Retention Strategy, Renewal &amp; Quota Attainment</w:t>
      </w:r>
    </w:p>
    <w:p>
      <w:pPr>
        <w:spacing w:after="30"/>
      </w:pPr>
      <w:r>
        <w:rPr>
          <w:rFonts w:ascii="Calibri" w:hAnsi="Calibri"/>
          <w:b/>
          <w:i w:val="0"/>
          <w:color w:val="1A1A1A"/>
        </w:rPr>
        <w:t xml:space="preserve">Risk &amp; Escalation Management:  </w:t>
      </w:r>
      <w:r>
        <w:rPr>
          <w:rFonts w:ascii="Calibri" w:hAnsi="Calibri"/>
          <w:b w:val="0"/>
          <w:i w:val="0"/>
          <w:color w:val="1A1A1A"/>
        </w:rPr>
        <w:t>Issue Escalation &amp; Resolution, Adoption Gap Analysis, Cross-Functional Collaboration (Product, Engineering)</w:t>
      </w:r>
    </w:p>
    <w:p>
      <w:pPr>
        <w:spacing w:after="30"/>
      </w:pPr>
      <w:r>
        <w:rPr>
          <w:rFonts w:ascii="Calibri" w:hAnsi="Calibri"/>
          <w:b/>
          <w:i w:val="0"/>
          <w:color w:val="1A1A1A"/>
        </w:rPr>
        <w:t xml:space="preserve">Industry Experience:  </w:t>
      </w:r>
      <w:r>
        <w:rPr>
          <w:rFonts w:ascii="Calibri" w:hAnsi="Calibri"/>
          <w:b w:val="0"/>
          <w:i w:val="0"/>
          <w:color w:val="1A1A1A"/>
        </w:rPr>
        <w:t>B2B Channel Sales to Healthcare-Focused Agencies, Multi-Vertical Account Management</w:t>
      </w:r>
    </w:p>
    <w:p>
      <w:pPr>
        <w:spacing w:after="30"/>
      </w:pPr>
      <w:r>
        <w:rPr>
          <w:rFonts w:ascii="Calibri" w:hAnsi="Calibri"/>
          <w:b/>
          <w:i w:val="0"/>
          <w:color w:val="1A1A1A"/>
        </w:rPr>
        <w:t xml:space="preserve">CRM &amp; Systems:  </w:t>
      </w:r>
      <w:r>
        <w:rPr>
          <w:rFonts w:ascii="Calibri" w:hAnsi="Calibri"/>
          <w:b w:val="0"/>
          <w:i w:val="0"/>
          <w:color w:val="1A1A1A"/>
        </w:rPr>
        <w:t>Salesforce, HubSpot, GoHighLevel, Accelo (CRM/PSA)</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