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Implementation Specialist | SaaS Onboarding, AI Product Adoption &amp; Customer Configuration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 onboarding and implementation professional with 15+ years taking SaaS customers from kickoff to live, including launching 25+ clients per month at Wix while holding 120% of sales and 110% of implementation targets. Builds and ships AI-driven systems personally, architecting LLM-powered agent workflows and personalized outreach engines at Solenzo, the kind of product Distill builds for its own customers. Comfortable defining process from scratch in early-stage environments, having driven a new business vertical from proof of concept to a profitable line at Wix and founded and run Solenzo independently since 2024.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client goals, objectives, and configuration requirements.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and deployed a complete marketing-automation system, 20+ workflows spanning lead capture/tagging/routing, lead qualification, appointment booking, onboarding nurture, and review generation.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outreach engines plus an automated prospect "audit" workflow that enrolled 180+ contacts, scoring each business's digital footprint to trigger personalized, research-driven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loops and evaluation frameworks to monitor AI agent outputs and continuously optimize conversion rates.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marketing automation and reputation management solutions.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(~94% retention) during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Wix vertical that went from proof of concept to a profitable business line, contributing to hiring, onboarding, and training of new hires and developing sales training for tenured account executives.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years, a team of 20, later a team of 8,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 against.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onboarding alongside implementation teams, troubleshooting workflow design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Onboarding:  </w:t>
      </w:r>
      <w:r>
        <w:rPr>
          <w:rFonts w:ascii="Calibri" w:hAnsi="Calibri"/>
          <w:b w:val="0"/>
          <w:i w:val="0"/>
          <w:color w:val="1A1A1A"/>
        </w:rPr>
        <w:t>Kickoff-to-Launch Onboarding, Customer Workflow Configuration, Playbook &amp; Template Development, Time-to-Value Acceleration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Product Fluency:  </w:t>
      </w:r>
      <w:r>
        <w:rPr>
          <w:rFonts w:ascii="Calibri" w:hAnsi="Calibri"/>
          <w:b w:val="0"/>
          <w:i w:val="0"/>
          <w:color w:val="1A1A1A"/>
        </w:rPr>
        <w:t>Agentic AI / LLM Workflows, AI Tool Adoption &amp; Configuration, Personalized Outreach Engine Design, Rapid Prototyping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&amp; Cross-Functional Coordination:  </w:t>
      </w:r>
      <w:r>
        <w:rPr>
          <w:rFonts w:ascii="Calibri" w:hAnsi="Calibri"/>
          <w:b w:val="0"/>
          <w:i w:val="0"/>
          <w:color w:val="1A1A1A"/>
        </w:rPr>
        <w:t>Customer Discovery, Cross-Functional Partnership (Product, Engineering), Training &amp; Adoption Enablement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Systems: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Data Hygiene &amp; Segmentation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