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October 14, 2026</w:t>
      </w:r>
    </w:p>
    <w:p>
      <w:pPr>
        <w:spacing w:after="20"/>
      </w:pPr>
      <w:r>
        <w:rPr>
          <w:rFonts w:ascii="Calibri" w:hAnsi="Calibri"/>
          <w:b/>
          <w:color w:val="1A1A1A"/>
        </w:rPr>
        <w:t>Embodied Marketing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Onboarding Project Manager - Marketing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can run this role because I've done every job on the team you'd be coordinating. Through my consulting practice, Solenzo, I write funnel copy, build landing pages, set up email and SMS automation in GoHighLevel, and install the tracking, I worked on paid campaigns at two performance agencies, including accounts at Level Agency spending $20K+ a month. When a copywriter, designer, builder, and ads manager each hand me their piece, I know what good looks like and what's missing.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also used to keeping many launches moving at once. At Wix I managed up to 25 concurrent client launches on fixed schedules at 110% of my implementation target and led onboarding teams of up to 30. Before anything goes live, I check the tracking, links, and automations myself, because a funnel that launches without working tracking can't be optimized.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I'd welcome a conversation at 303-726-5037 or jrotnbrg@gmail.com.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Best,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