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Partner GTM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Partner and channel GTM professional with direct experience enabling reseller partners to package, position, and sell SaaS solutions to SMB customers. At Birdeye, owned a portfolio of 15-20 reseller partners, developing enablement workflows and automated training sequences that drove adoption and sustained roughly 94% retention. At Wix, a website platform for professionals and SMBs much like Duda, onboarded and launched 25+ clients per month while holding 120% of sales targets and 110% of implementation targets. Bring the agency side too (Level Agency, Fetch &amp; Funnel), understanding how the large media agencies Duda partners with actually operate. Now build AI-driven automation and GTM systems at Solenzo for SMB service businesses, translating complex capabilities into the positioning and enablement assets partners need to sell.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enabling them to successfully position and sell SaaS solutions to their SMB customers, retaining all but one (roughly 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and drove partner adoption of new features.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to their own SMB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partner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on a website-building SaaS platform,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(SMB) businesses, translating goals into positioning, content, and campaign strategy.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AI-driven marketing systems and automation workflows, translating non-technical stakeholders' goals into precise, structured prompts and scalable processes.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copy, outreach sequences, landing pages, and educational guides that function as enablement and sales assets for client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tracking campaign-level KPIs and account health.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 as strategic lead, coordinating execution across internal departments and external partners.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translating capabilities into business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 &amp; Channel GTM:  </w:t>
      </w:r>
      <w:r>
        <w:rPr>
          <w:rFonts w:ascii="Calibri" w:hAnsi="Calibri"/>
          <w:b w:val="0"/>
          <w:i w:val="0"/>
          <w:color w:val="1A1A1A"/>
        </w:rPr>
        <w:t>Reseller Partner Enablement, Channel Marketing, Partner Onboarding &amp; Training, Co-Marketing Assets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SMB &amp; Agency Ecosystem:  </w:t>
      </w:r>
      <w:r>
        <w:rPr>
          <w:rFonts w:ascii="Calibri" w:hAnsi="Calibri"/>
          <w:b w:val="0"/>
          <w:i w:val="0"/>
          <w:color w:val="1A1A1A"/>
        </w:rPr>
        <w:t>SMB SaaS Positioning, Agency-Side Perspective, Website Platform Domain Experience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AI-Driven GTM Systems, Workflow Automation, Prompt Engineering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Communication:  </w:t>
      </w:r>
      <w:r>
        <w:rPr>
          <w:rFonts w:ascii="Calibri" w:hAnsi="Calibri"/>
          <w:b w:val="0"/>
          <w:i w:val="0"/>
          <w:color w:val="1A1A1A"/>
        </w:rPr>
        <w:t>Performance Reporting, QBRs, Stakeholder Presentations, Cross-Functional Collaboration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