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2, 2026</w:t>
      </w:r>
    </w:p>
    <w:p>
      <w:pPr>
        <w:spacing w:after="20"/>
      </w:pPr>
      <w:r>
        <w:rPr>
          <w:rFonts w:ascii="Calibri" w:hAnsi="Calibri"/>
          <w:b/>
          <w:color w:val="1A1A1A"/>
        </w:rPr>
        <w:t>Catalis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Success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Owning the relationship after the sale and proving value well before renewal is the work I'm best at. Helping government agencies serve the public faster and more simply is a mission I'd be glad to put that toward.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Birdeye I managed 15 to 20 reseller partners and retained all but one, roughly 94%, by watching utilization and performance data for risk, stepping in with remediation before frustration became cancellation, and escalating the right issues to Product and Engineering. At Wix I onboarded 25+ clients a month at 110% of implementation targets while leading a team of onboarding specialists. At Accelo I built trusted relationships with C-suite clients and raised account risk early. Across those roles I've run business reviews, managed escalations, and represented the company at tradeshows and customer meetings, and I document everything so plans, commitments, and next steps are always current.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haven't sold to or supported government agencies yet, and I'd expect to learn how municipal and county customers buy and renew quickly. I'd welcome a conversation about the accounts this role would own.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