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American Bath Group</w:t>
      </w:r>
    </w:p>
    <w:p>
      <w:pPr>
        <w:spacing w:after="160"/>
      </w:pPr>
      <w:r>
        <w:rPr>
          <w:rFonts w:ascii="Calibri" w:hAnsi="Calibri"/>
          <w:b w:val="0"/>
          <w:color w:val="1A1A1A"/>
        </w:rPr>
        <w:t>Re: Paid Media Specialist</w:t>
      </w:r>
    </w:p>
    <w:p>
      <w:pPr>
        <w:spacing w:after="160"/>
      </w:pPr>
      <w:r>
        <w:rPr>
          <w:rFonts w:ascii="Calibri" w:hAnsi="Calibri"/>
          <w:b w:val="0"/>
          <w:color w:val="1A1A1A"/>
        </w:rPr>
        <w:t>Dear Hiring Team,</w:t>
      </w:r>
    </w:p>
    <w:p>
      <w:pPr>
        <w:spacing w:after="160"/>
      </w:pPr>
      <w:r>
        <w:rPr>
          <w:rFonts w:ascii="Calibri" w:hAnsi="Calibri"/>
          <w:b w:val="0"/>
          <w:color w:val="1A1A1A"/>
        </w:rPr>
        <w:t>The line in your posting that stood out was "translated into practical actions rather than passive monitoring." That's how I work. When a client's Google Ads account was flooding them with spam leads, I cleaned up the targeting to cut the junk, then followed the data past the ads and found the real conversion problem was on the site itself. Fixing the right thing is most of the job.</w:t>
      </w:r>
    </w:p>
    <w:p>
      <w:pPr>
        <w:spacing w:after="160"/>
      </w:pPr>
      <w:r>
        <w:rPr>
          <w:rFonts w:ascii="Calibri" w:hAnsi="Calibri"/>
          <w:b w:val="0"/>
          <w:color w:val="1A1A1A"/>
        </w:rPr>
        <w:t>At Level Agency I led paid, inbound, and content strategy for client accounts, ran A/B-tested LinkedIn campaigns against highly researched audiences, advised on ad-spend allocation, and reported on CAC, LTV, ROI, and conversion. At a performance marketing agency before that, I analyzed campaign results and turned them into optimization recommendations across paid media and creative. I hold the Meta Ads certification, set up GA4 and Google Tag Manager on every site I build so tracking is right from the first click, and launched e-commerce storefronts for retail businesses at Wix. My consulting clients also include plumbing and HVAC contractors, the trades that install your products. I'll be straightforward that I haven't managed a large DTC Google and Meta budget on my own, and I'd bring the testing discipline and hands-on habits to grow into that quickly.</w:t>
      </w:r>
    </w:p>
    <w:p>
      <w:pPr>
        <w:spacing w:after="160"/>
      </w:pPr>
      <w:r>
        <w:rPr>
          <w:rFonts w:ascii="Calibri" w:hAnsi="Calibri"/>
          <w:b w:val="0"/>
          <w:color w:val="1A1A1A"/>
        </w:rPr>
        <w:t>I'd welcome a conversation about ABG's DTC growth goals.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