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Rankings.io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Local SEO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Google Business Profile and local-listings work is where my SEO career started, and it's still the foundation of what I do. At Solenzo, claiming and optimizing a client's GBP is the first deliverable in every engagement, before anything else on the account starts. That instinct goes back to Birdeye, where selling and onboarding partners onto our data-aggregator/listings-syndication solution was the backbone of the channel offer, ensuring every partner's end customer had a properly configured local presence.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Beyond that core, I bring technical SEO depth (Screaming Frog audits, schema and structured data, Ahrefs, Semrush) and 15+ years owning client relationships end to end: reporting, retention, and finding the next growth opportunity in an account. What I don't have is experience at the specific scale of a multi-location enterprise brand, my listings and GBP work has been for individual local service businesses and Birdeye's partner network, not a single large chain, and that's worth being upfront about.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background fits what you're building for your law firm clients.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